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8847A1">
      <w:pPr>
        <w:overflowPunct w:val="0"/>
        <w:autoSpaceDE w:val="0"/>
        <w:autoSpaceDN w:val="0"/>
        <w:adjustRightInd w:val="0"/>
        <w:spacing w:line="360" w:lineRule="auto"/>
        <w:jc w:val="left"/>
        <w:textAlignment w:val="baseline"/>
        <w:rPr>
          <w:rFonts w:hint="default" w:ascii="Arial" w:hAnsi="Arial" w:eastAsia="宋体" w:cs="Arial"/>
          <w:b/>
          <w:kern w:val="0"/>
          <w:sz w:val="22"/>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31</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R2-2</w:t>
      </w:r>
      <w:r>
        <w:rPr>
          <w:rFonts w:hint="eastAsia" w:ascii="Arial" w:hAnsi="Arial" w:eastAsia="宋体" w:cs="Arial"/>
          <w:b/>
          <w:kern w:val="0"/>
          <w:sz w:val="24"/>
          <w:szCs w:val="24"/>
          <w:lang w:val="en-US" w:eastAsia="zh-CN"/>
        </w:rPr>
        <w:t>505513</w:t>
      </w:r>
    </w:p>
    <w:p w14:paraId="3F36A7AD">
      <w:pPr>
        <w:overflowPunct w:val="0"/>
        <w:autoSpaceDE w:val="0"/>
        <w:autoSpaceDN w:val="0"/>
        <w:adjustRightInd w:val="0"/>
        <w:spacing w:line="360" w:lineRule="auto"/>
        <w:jc w:val="left"/>
        <w:textAlignment w:val="baseline"/>
        <w:rPr>
          <w:rFonts w:ascii="Arial" w:hAnsi="Arial" w:eastAsia="宋体" w:cs="Arial"/>
          <w:b/>
          <w:bCs/>
          <w:kern w:val="0"/>
          <w:sz w:val="24"/>
          <w:szCs w:val="24"/>
          <w:lang w:val="en-GB"/>
        </w:rPr>
      </w:pPr>
      <w:r>
        <w:rPr>
          <w:rFonts w:hint="eastAsia" w:ascii="Arial" w:hAnsi="Arial" w:eastAsia="宋体" w:cs="Arial"/>
          <w:b/>
          <w:bCs/>
          <w:kern w:val="0"/>
          <w:sz w:val="24"/>
          <w:szCs w:val="24"/>
        </w:rPr>
        <w:t>Bangalore, India</w:t>
      </w:r>
      <w:r>
        <w:rPr>
          <w:rFonts w:hint="eastAsia" w:ascii="Arial" w:hAnsi="Arial" w:eastAsia="宋体" w:cs="Arial"/>
          <w:b/>
          <w:bCs/>
          <w:kern w:val="0"/>
          <w:sz w:val="24"/>
          <w:szCs w:val="24"/>
          <w:lang w:val="en-US" w:eastAsia="zh-CN"/>
        </w:rPr>
        <w:t>, 25</w:t>
      </w:r>
      <w:r>
        <w:rPr>
          <w:rFonts w:hint="eastAsia" w:ascii="Arial" w:hAnsi="Arial" w:eastAsia="宋体" w:cs="Arial"/>
          <w:b/>
          <w:bCs/>
          <w:kern w:val="0"/>
          <w:sz w:val="24"/>
          <w:szCs w:val="24"/>
          <w:vertAlign w:val="superscript"/>
        </w:rPr>
        <w:t>th</w:t>
      </w:r>
      <w:r>
        <w:rPr>
          <w:rFonts w:hint="eastAsia" w:ascii="Arial" w:hAnsi="Arial" w:eastAsia="宋体" w:cs="Arial"/>
          <w:b/>
          <w:bCs/>
          <w:kern w:val="0"/>
          <w:sz w:val="24"/>
          <w:szCs w:val="24"/>
        </w:rPr>
        <w:t>-2</w:t>
      </w:r>
      <w:r>
        <w:rPr>
          <w:rFonts w:hint="eastAsia" w:ascii="Arial" w:hAnsi="Arial" w:eastAsia="宋体" w:cs="Arial"/>
          <w:b/>
          <w:bCs/>
          <w:kern w:val="0"/>
          <w:sz w:val="24"/>
          <w:szCs w:val="24"/>
          <w:lang w:val="en-US" w:eastAsia="zh-CN"/>
        </w:rPr>
        <w:t>9</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rPr>
        <w:t xml:space="preserve"> </w:t>
      </w:r>
      <w:r>
        <w:rPr>
          <w:rFonts w:hint="eastAsia" w:ascii="Arial" w:hAnsi="Arial" w:eastAsia="宋体" w:cs="Arial"/>
          <w:b/>
          <w:bCs/>
          <w:kern w:val="0"/>
          <w:sz w:val="24"/>
          <w:szCs w:val="24"/>
          <w:lang w:val="en-US" w:eastAsia="zh-CN"/>
        </w:rPr>
        <w:t>Aug</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2025</w:t>
      </w:r>
    </w:p>
    <w:p w14:paraId="264385DC">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6F0C16E0">
      <w:pPr>
        <w:widowControl/>
        <w:tabs>
          <w:tab w:val="left" w:pos="1985"/>
        </w:tabs>
        <w:spacing w:after="120"/>
        <w:jc w:val="left"/>
        <w:rPr>
          <w:rFonts w:hint="default" w:ascii="Arial" w:hAnsi="Arial" w:eastAsia="宋体" w:cs="Arial"/>
          <w:b/>
          <w:bCs/>
          <w:kern w:val="0"/>
          <w:sz w:val="24"/>
          <w:szCs w:val="20"/>
          <w:lang w:val="en-US"/>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宋体" w:cs="Arial"/>
          <w:b/>
          <w:bCs/>
          <w:kern w:val="0"/>
          <w:sz w:val="24"/>
          <w:szCs w:val="20"/>
          <w:lang w:val="en-US" w:eastAsia="zh-CN"/>
        </w:rPr>
        <w:t>8</w:t>
      </w:r>
      <w:r>
        <w:rPr>
          <w:rFonts w:ascii="Arial" w:hAnsi="Arial" w:eastAsia="宋体" w:cs="Arial"/>
          <w:b/>
          <w:bCs/>
          <w:kern w:val="0"/>
          <w:sz w:val="24"/>
          <w:szCs w:val="20"/>
          <w:lang w:val="en-GB"/>
        </w:rPr>
        <w:t>.</w:t>
      </w:r>
      <w:r>
        <w:rPr>
          <w:rFonts w:hint="eastAsia" w:ascii="Arial" w:hAnsi="Arial" w:eastAsia="宋体" w:cs="Arial"/>
          <w:b/>
          <w:bCs/>
          <w:kern w:val="0"/>
          <w:sz w:val="24"/>
          <w:szCs w:val="20"/>
          <w:lang w:val="en-US" w:eastAsia="zh-CN"/>
        </w:rPr>
        <w:t>3.2.3</w:t>
      </w:r>
    </w:p>
    <w:p w14:paraId="5216B0BA">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16ECEE09">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w:t>
      </w:r>
      <w:r>
        <w:rPr>
          <w:rFonts w:hint="eastAsia" w:ascii="Arial" w:hAnsi="Arial" w:eastAsia="宋体" w:cs="Arial"/>
          <w:b/>
          <w:bCs/>
          <w:kern w:val="0"/>
          <w:sz w:val="24"/>
          <w:szCs w:val="20"/>
          <w:lang w:val="en-US" w:eastAsia="zh-CN"/>
        </w:rPr>
        <w:t>data collection for UE-sided model</w:t>
      </w:r>
    </w:p>
    <w:p w14:paraId="770E732F">
      <w:pPr>
        <w:widowControl/>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FS_NR_AIML_Mob</w:t>
      </w:r>
    </w:p>
    <w:p w14:paraId="2B9FCBEA">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366024CA">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 xml:space="preserve"> </w:t>
      </w:r>
      <w:r>
        <w:rPr>
          <w:rFonts w:ascii="Arial" w:hAnsi="Arial" w:eastAsia="宋体" w:cs="Arial"/>
          <w:kern w:val="0"/>
          <w:sz w:val="36"/>
          <w:szCs w:val="20"/>
          <w:lang w:val="en-GB" w:eastAsia="en-US"/>
        </w:rPr>
        <w:t>Introduction</w:t>
      </w:r>
    </w:p>
    <w:p w14:paraId="07F820C7">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eastAsia" w:ascii="Arial" w:hAnsi="Arial" w:eastAsia="宋体" w:cs="Arial"/>
          <w:kern w:val="0"/>
          <w:sz w:val="21"/>
          <w:szCs w:val="21"/>
          <w:lang w:val="en-US" w:eastAsia="zh-CN"/>
        </w:rPr>
      </w:pPr>
      <w:r>
        <w:rPr>
          <w:rFonts w:hint="eastAsia" w:ascii="Arial" w:hAnsi="Arial" w:eastAsia="宋体" w:cs="Arial"/>
          <w:kern w:val="0"/>
          <w:sz w:val="21"/>
          <w:szCs w:val="21"/>
          <w:lang w:val="en-US" w:eastAsia="zh-CN"/>
        </w:rPr>
        <w:t>In last meeting [1], RAN2 had the following agreements on data collection for UE-sided model:</w:t>
      </w:r>
    </w:p>
    <w:p w14:paraId="355BF6CE">
      <w:pPr>
        <w:pStyle w:val="25"/>
        <w:keepNext w:val="0"/>
        <w:keepLines w:val="0"/>
        <w:pageBreakBefore w:val="0"/>
        <w:widowControl w:val="0"/>
        <w:numPr>
          <w:ilvl w:val="0"/>
          <w:numId w:val="6"/>
        </w:numPr>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spacing w:after="120"/>
        <w:ind w:left="1621" w:hanging="363"/>
        <w:textAlignment w:val="auto"/>
        <w:rPr>
          <w:rFonts w:hint="default" w:ascii="Arial" w:hAnsi="Arial" w:cs="Arial"/>
          <w:sz w:val="20"/>
          <w:szCs w:val="22"/>
          <w:lang w:eastAsia="zh-CN"/>
        </w:rPr>
      </w:pPr>
      <w:r>
        <w:rPr>
          <w:rFonts w:hint="default" w:ascii="Arial" w:hAnsi="Arial" w:cs="Arial"/>
        </w:rPr>
        <w:t>For UE sided data collection – use AI/ML PHY request/configuration framework as baseline.  FFS enhancements/or differences</w:t>
      </w:r>
      <w:r>
        <w:rPr>
          <w:rFonts w:hint="default" w:ascii="Arial" w:hAnsi="Arial" w:cs="Arial"/>
          <w:sz w:val="20"/>
          <w:szCs w:val="22"/>
          <w:lang w:eastAsia="zh-CN"/>
        </w:rPr>
        <w:t xml:space="preserve"> </w:t>
      </w:r>
    </w:p>
    <w:p w14:paraId="22BA0FC5">
      <w:pPr>
        <w:keepNext w:val="0"/>
        <w:keepLines w:val="0"/>
        <w:pageBreakBefore w:val="0"/>
        <w:widowControl/>
        <w:kinsoku/>
        <w:wordWrap/>
        <w:overflowPunct/>
        <w:topLinePunct w:val="0"/>
        <w:autoSpaceDE/>
        <w:autoSpaceDN/>
        <w:bidi w:val="0"/>
        <w:adjustRightInd/>
        <w:snapToGrid/>
        <w:spacing w:before="0" w:beforeLines="50" w:after="120"/>
        <w:jc w:val="both"/>
        <w:textAlignment w:val="auto"/>
        <w:rPr>
          <w:rFonts w:hint="default" w:ascii="Arial" w:hAnsi="Arial" w:eastAsia="宋体" w:cs="Arial"/>
          <w:kern w:val="0"/>
          <w:sz w:val="21"/>
          <w:szCs w:val="21"/>
          <w:lang w:val="en-US" w:eastAsia="zh-CN"/>
        </w:rPr>
      </w:pPr>
      <w:r>
        <w:rPr>
          <w:rFonts w:hint="eastAsia" w:ascii="Arial" w:hAnsi="Arial" w:eastAsia="宋体" w:cs="Arial"/>
          <w:kern w:val="0"/>
          <w:sz w:val="21"/>
          <w:szCs w:val="21"/>
          <w:lang w:val="en-US" w:eastAsia="zh-CN"/>
        </w:rPr>
        <w:t>This contribution will focus on data collection for RRM measurement prediction and measurement event prediction with UE-sided model.</w:t>
      </w:r>
    </w:p>
    <w:p w14:paraId="4B85BB60">
      <w:pPr>
        <w:keepNext/>
        <w:keepLines/>
        <w:widowControl/>
        <w:numPr>
          <w:ilvl w:val="0"/>
          <w:numId w:val="7"/>
        </w:numPr>
        <w:pBdr>
          <w:top w:val="single" w:color="auto" w:sz="12" w:space="3"/>
        </w:pBdr>
        <w:spacing w:before="240" w:after="180"/>
        <w:ind w:left="1134" w:hanging="1134"/>
        <w:jc w:val="left"/>
        <w:outlineLvl w:val="0"/>
        <w:rPr>
          <w:rFonts w:hint="default" w:ascii="Arial" w:hAnsi="Arial" w:eastAsia="宋体" w:cs="Arial"/>
          <w:kern w:val="0"/>
          <w:sz w:val="36"/>
          <w:szCs w:val="20"/>
          <w:lang w:val="en-US" w:eastAsia="zh-CN"/>
        </w:rPr>
      </w:pPr>
      <w:r>
        <w:rPr>
          <w:rFonts w:hint="eastAsia" w:ascii="Arial" w:hAnsi="Arial" w:eastAsia="宋体" w:cs="Arial"/>
          <w:kern w:val="0"/>
          <w:sz w:val="36"/>
          <w:szCs w:val="20"/>
          <w:lang w:val="en-US" w:eastAsia="zh-CN"/>
        </w:rPr>
        <w:t xml:space="preserve"> </w:t>
      </w:r>
      <w:r>
        <w:rPr>
          <w:rFonts w:hint="eastAsia" w:ascii="Arial" w:hAnsi="Arial" w:eastAsia="宋体" w:cs="Arial"/>
          <w:kern w:val="0"/>
          <w:sz w:val="36"/>
          <w:szCs w:val="20"/>
        </w:rPr>
        <w:t>Discussion</w:t>
      </w:r>
    </w:p>
    <w:p w14:paraId="55E8C098">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During the discussion on UE-side data collection in AI/ML PHY, RAN2 has the following agreements on UE request:</w:t>
      </w:r>
    </w:p>
    <w:p w14:paraId="1F32DC44">
      <w:pPr>
        <w:pStyle w:val="32"/>
        <w:numPr>
          <w:ilvl w:val="0"/>
          <w:numId w:val="0"/>
        </w:numPr>
        <w:pBdr>
          <w:top w:val="single" w:color="auto" w:sz="4" w:space="1"/>
          <w:left w:val="single" w:color="auto" w:sz="4" w:space="4"/>
          <w:bottom w:val="single" w:color="auto" w:sz="4" w:space="1"/>
          <w:right w:val="single" w:color="auto" w:sz="4" w:space="4"/>
        </w:pBdr>
        <w:tabs>
          <w:tab w:val="left" w:pos="1352"/>
          <w:tab w:val="clear" w:pos="1619"/>
        </w:tabs>
        <w:ind w:left="1619" w:hanging="360"/>
        <w:rPr>
          <w:rFonts w:hint="default" w:ascii="Arial" w:hAnsi="Arial" w:cs="Arial"/>
          <w:sz w:val="21"/>
          <w:szCs w:val="21"/>
        </w:rPr>
      </w:pPr>
      <w:r>
        <w:rPr>
          <w:rFonts w:hint="default" w:ascii="Arial" w:hAnsi="Arial" w:cs="Arial"/>
          <w:sz w:val="21"/>
          <w:szCs w:val="21"/>
          <w:lang w:val="en-US" w:eastAsia="zh-CN"/>
        </w:rPr>
        <w:t>RAN2#129</w:t>
      </w:r>
      <w:r>
        <w:rPr>
          <w:rFonts w:hint="eastAsia" w:ascii="Arial" w:hAnsi="Arial" w:cs="Arial"/>
          <w:sz w:val="21"/>
          <w:szCs w:val="21"/>
          <w:lang w:val="en-US" w:eastAsia="zh-CN"/>
        </w:rPr>
        <w:t>bis</w:t>
      </w:r>
      <w:r>
        <w:rPr>
          <w:rFonts w:hint="default" w:ascii="Arial" w:hAnsi="Arial" w:cs="Arial"/>
          <w:sz w:val="21"/>
          <w:szCs w:val="21"/>
          <w:lang w:val="en-US" w:eastAsia="zh-CN"/>
        </w:rPr>
        <w:t xml:space="preserve"> </w:t>
      </w:r>
      <w:r>
        <w:rPr>
          <w:rFonts w:hint="default" w:ascii="Arial" w:hAnsi="Arial" w:cs="Arial"/>
          <w:sz w:val="21"/>
          <w:szCs w:val="21"/>
        </w:rPr>
        <w:t>Agreements</w:t>
      </w:r>
    </w:p>
    <w:p w14:paraId="779D2A06">
      <w:pPr>
        <w:pStyle w:val="32"/>
        <w:pBdr>
          <w:top w:val="single" w:color="auto" w:sz="4" w:space="1"/>
          <w:left w:val="single" w:color="auto" w:sz="4" w:space="4"/>
          <w:bottom w:val="single" w:color="auto" w:sz="4" w:space="1"/>
          <w:right w:val="single" w:color="auto" w:sz="4" w:space="4"/>
        </w:pBdr>
        <w:tabs>
          <w:tab w:val="left" w:pos="1352"/>
          <w:tab w:val="clear" w:pos="1619"/>
        </w:tabs>
        <w:rPr>
          <w:rFonts w:hint="default" w:ascii="Arial" w:hAnsi="Arial" w:cs="Arial"/>
          <w:b w:val="0"/>
          <w:bCs/>
          <w:sz w:val="21"/>
          <w:szCs w:val="21"/>
        </w:rPr>
      </w:pPr>
      <w:r>
        <w:rPr>
          <w:rFonts w:hint="default" w:ascii="Arial" w:hAnsi="Arial" w:cs="Arial"/>
          <w:b w:val="0"/>
          <w:bCs/>
          <w:sz w:val="21"/>
          <w:szCs w:val="21"/>
        </w:rPr>
        <w:t xml:space="preserve">The UE can request measurement configuration for data collection of AI/ML based beam management.   The request can contain one or more of the following: </w:t>
      </w:r>
    </w:p>
    <w:p w14:paraId="45DF74D6">
      <w:pPr>
        <w:pStyle w:val="25"/>
        <w:pBdr>
          <w:top w:val="single" w:color="auto" w:sz="4" w:space="1"/>
          <w:left w:val="single" w:color="auto" w:sz="4" w:space="4"/>
          <w:bottom w:val="single" w:color="auto" w:sz="4" w:space="1"/>
          <w:right w:val="single" w:color="auto" w:sz="4" w:space="4"/>
        </w:pBdr>
        <w:rPr>
          <w:rFonts w:hint="default" w:ascii="Arial" w:hAnsi="Arial" w:cs="Arial"/>
          <w:bCs/>
          <w:sz w:val="21"/>
          <w:szCs w:val="21"/>
        </w:rPr>
      </w:pPr>
      <w:r>
        <w:rPr>
          <w:rFonts w:hint="default" w:ascii="Arial" w:hAnsi="Arial" w:cs="Arial"/>
          <w:bCs/>
          <w:sz w:val="21"/>
          <w:szCs w:val="21"/>
        </w:rPr>
        <w:t>•</w:t>
      </w:r>
      <w:r>
        <w:rPr>
          <w:rFonts w:hint="default" w:ascii="Arial" w:hAnsi="Arial" w:cs="Arial"/>
          <w:bCs/>
          <w:sz w:val="21"/>
          <w:szCs w:val="21"/>
        </w:rPr>
        <w:tab/>
      </w:r>
      <w:r>
        <w:rPr>
          <w:rFonts w:hint="default" w:ascii="Arial" w:hAnsi="Arial" w:cs="Arial"/>
          <w:bCs/>
          <w:sz w:val="21"/>
          <w:szCs w:val="21"/>
        </w:rPr>
        <w:t>An indication on start/stop of data collection</w:t>
      </w:r>
    </w:p>
    <w:p w14:paraId="24D1BED6">
      <w:pPr>
        <w:pStyle w:val="25"/>
        <w:pBdr>
          <w:top w:val="single" w:color="auto" w:sz="4" w:space="1"/>
          <w:left w:val="single" w:color="auto" w:sz="4" w:space="4"/>
          <w:bottom w:val="single" w:color="auto" w:sz="4" w:space="1"/>
          <w:right w:val="single" w:color="auto" w:sz="4" w:space="4"/>
        </w:pBdr>
        <w:rPr>
          <w:rFonts w:hint="default" w:ascii="Arial" w:hAnsi="Arial" w:cs="Arial"/>
          <w:bCs/>
          <w:sz w:val="21"/>
          <w:szCs w:val="21"/>
        </w:rPr>
      </w:pPr>
      <w:r>
        <w:rPr>
          <w:rFonts w:hint="default" w:ascii="Arial" w:hAnsi="Arial" w:cs="Arial"/>
          <w:bCs/>
          <w:sz w:val="21"/>
          <w:szCs w:val="21"/>
        </w:rPr>
        <w:t>•</w:t>
      </w:r>
      <w:r>
        <w:rPr>
          <w:rFonts w:hint="default" w:ascii="Arial" w:hAnsi="Arial" w:cs="Arial"/>
          <w:bCs/>
          <w:sz w:val="21"/>
          <w:szCs w:val="21"/>
        </w:rPr>
        <w:tab/>
      </w:r>
      <w:r>
        <w:rPr>
          <w:rFonts w:hint="default" w:ascii="Arial" w:hAnsi="Arial" w:cs="Arial"/>
          <w:bCs/>
          <w:sz w:val="21"/>
          <w:szCs w:val="21"/>
        </w:rPr>
        <w:t>Preferred configuration from a list of candidate configurations provided by NW.  Details of signaling are FFS.  It is up to network what it configures at the end.</w:t>
      </w:r>
    </w:p>
    <w:p w14:paraId="1F5FFE56">
      <w:pPr>
        <w:pStyle w:val="32"/>
        <w:pBdr>
          <w:top w:val="single" w:color="auto" w:sz="4" w:space="1"/>
          <w:left w:val="single" w:color="auto" w:sz="4" w:space="4"/>
          <w:bottom w:val="single" w:color="auto" w:sz="4" w:space="1"/>
          <w:right w:val="single" w:color="auto" w:sz="4" w:space="4"/>
        </w:pBdr>
        <w:tabs>
          <w:tab w:val="left" w:pos="1352"/>
          <w:tab w:val="clear" w:pos="1619"/>
        </w:tabs>
        <w:rPr>
          <w:rFonts w:hint="default" w:ascii="Arial" w:hAnsi="Arial" w:cs="Arial"/>
          <w:b w:val="0"/>
          <w:bCs/>
          <w:sz w:val="21"/>
          <w:szCs w:val="21"/>
        </w:rPr>
      </w:pPr>
      <w:r>
        <w:rPr>
          <w:rFonts w:hint="default" w:ascii="Arial" w:hAnsi="Arial" w:cs="Arial"/>
          <w:b w:val="0"/>
          <w:bCs/>
          <w:sz w:val="21"/>
          <w:szCs w:val="21"/>
        </w:rPr>
        <w:t xml:space="preserve">Introduce UAI message for UE request of data collection measurement configuration. And it is up to UE implementation when to send the request.  </w:t>
      </w:r>
    </w:p>
    <w:p w14:paraId="0DF54A28">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On the other hand, RAN2 also has the following agreements on data collection configuration:</w:t>
      </w:r>
    </w:p>
    <w:tbl>
      <w:tblPr>
        <w:tblStyle w:val="15"/>
        <w:tblW w:w="0" w:type="auto"/>
        <w:tblInd w:w="9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72"/>
      </w:tblGrid>
      <w:tr w14:paraId="38D20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72" w:type="dxa"/>
          </w:tcPr>
          <w:p w14:paraId="2EA72D14">
            <w:pPr>
              <w:pStyle w:val="32"/>
              <w:numPr>
                <w:ilvl w:val="0"/>
                <w:numId w:val="0"/>
              </w:numPr>
              <w:tabs>
                <w:tab w:val="left" w:pos="1352"/>
                <w:tab w:val="clear" w:pos="1619"/>
              </w:tabs>
              <w:rPr>
                <w:rFonts w:hint="default" w:ascii="Arial" w:hAnsi="Arial" w:cs="Arial"/>
                <w:sz w:val="21"/>
                <w:szCs w:val="21"/>
              </w:rPr>
            </w:pPr>
            <w:r>
              <w:rPr>
                <w:rFonts w:hint="default" w:ascii="Arial" w:hAnsi="Arial" w:cs="Arial"/>
                <w:sz w:val="21"/>
                <w:szCs w:val="21"/>
                <w:lang w:val="en-US" w:eastAsia="zh-CN"/>
              </w:rPr>
              <w:t xml:space="preserve">RAN2#129 </w:t>
            </w:r>
            <w:r>
              <w:rPr>
                <w:rFonts w:hint="default" w:ascii="Arial" w:hAnsi="Arial" w:cs="Arial"/>
                <w:sz w:val="21"/>
                <w:szCs w:val="21"/>
              </w:rPr>
              <w:t>Agreements</w:t>
            </w:r>
          </w:p>
          <w:p w14:paraId="3BD6C854">
            <w:pPr>
              <w:pStyle w:val="32"/>
              <w:numPr>
                <w:ilvl w:val="0"/>
                <w:numId w:val="0"/>
              </w:numPr>
              <w:tabs>
                <w:tab w:val="left" w:pos="1352"/>
                <w:tab w:val="clear" w:pos="1619"/>
              </w:tabs>
              <w:ind w:left="360" w:hanging="360"/>
              <w:rPr>
                <w:rFonts w:hint="default" w:ascii="Arial" w:hAnsi="Arial" w:cs="Arial"/>
                <w:sz w:val="21"/>
                <w:szCs w:val="21"/>
              </w:rPr>
            </w:pPr>
            <w:r>
              <w:rPr>
                <w:rFonts w:hint="default" w:ascii="Arial" w:hAnsi="Arial" w:cs="Arial"/>
                <w:sz w:val="21"/>
                <w:szCs w:val="21"/>
              </w:rPr>
              <w:t xml:space="preserve">Extend the following agreements on data collection configuration in AI/ML based beam management to general UE-side data collection configuration: </w:t>
            </w:r>
          </w:p>
          <w:p w14:paraId="0C1B380F">
            <w:pPr>
              <w:pStyle w:val="32"/>
              <w:numPr>
                <w:ilvl w:val="0"/>
                <w:numId w:val="8"/>
              </w:numPr>
              <w:tabs>
                <w:tab w:val="left" w:pos="1352"/>
                <w:tab w:val="clear" w:pos="1619"/>
              </w:tabs>
              <w:ind w:left="720"/>
              <w:rPr>
                <w:rFonts w:hint="default" w:ascii="Arial" w:hAnsi="Arial" w:cs="Arial"/>
                <w:b w:val="0"/>
                <w:bCs/>
                <w:sz w:val="21"/>
                <w:szCs w:val="21"/>
              </w:rPr>
            </w:pPr>
            <w:r>
              <w:rPr>
                <w:rFonts w:hint="default" w:ascii="Arial" w:hAnsi="Arial" w:cs="Arial"/>
                <w:b w:val="0"/>
                <w:bCs/>
                <w:sz w:val="21"/>
                <w:szCs w:val="21"/>
              </w:rPr>
              <w:t>Data collection related configuration(s) and associated ID(s)(if needed) can be included in training data collection configuration.</w:t>
            </w:r>
          </w:p>
          <w:p w14:paraId="3DFCE111">
            <w:pPr>
              <w:pStyle w:val="32"/>
              <w:numPr>
                <w:ilvl w:val="0"/>
                <w:numId w:val="8"/>
              </w:numPr>
              <w:tabs>
                <w:tab w:val="left" w:pos="1352"/>
                <w:tab w:val="clear" w:pos="1619"/>
              </w:tabs>
              <w:ind w:left="720"/>
              <w:rPr>
                <w:rFonts w:hint="default" w:ascii="Arial" w:hAnsi="Arial" w:cs="Arial"/>
                <w:b w:val="0"/>
                <w:bCs/>
                <w:sz w:val="21"/>
                <w:szCs w:val="21"/>
              </w:rPr>
            </w:pPr>
            <w:r>
              <w:rPr>
                <w:rFonts w:hint="default" w:ascii="Arial" w:hAnsi="Arial" w:cs="Arial"/>
                <w:b w:val="0"/>
                <w:bCs/>
                <w:sz w:val="21"/>
                <w:szCs w:val="21"/>
              </w:rPr>
              <w:t xml:space="preserve">The network can provide or release the data collection configuration (at any point in time), with or without UE request.   </w:t>
            </w:r>
          </w:p>
          <w:p w14:paraId="104DB842">
            <w:pPr>
              <w:pStyle w:val="32"/>
              <w:numPr>
                <w:ilvl w:val="0"/>
                <w:numId w:val="8"/>
              </w:numPr>
              <w:tabs>
                <w:tab w:val="left" w:pos="1352"/>
                <w:tab w:val="clear" w:pos="1619"/>
              </w:tabs>
              <w:ind w:left="720"/>
              <w:rPr>
                <w:rFonts w:hint="default" w:ascii="Arial" w:hAnsi="Arial" w:cs="Arial"/>
                <w:b w:val="0"/>
                <w:bCs/>
                <w:sz w:val="21"/>
                <w:szCs w:val="21"/>
              </w:rPr>
            </w:pPr>
            <w:r>
              <w:rPr>
                <w:rFonts w:hint="default" w:ascii="Arial" w:hAnsi="Arial" w:cs="Arial"/>
                <w:b w:val="0"/>
                <w:bCs/>
                <w:sz w:val="21"/>
                <w:szCs w:val="21"/>
              </w:rPr>
              <w:t>The following methods for network control of the initiation and configuration for data collection:</w:t>
            </w:r>
          </w:p>
          <w:p w14:paraId="47A7E825">
            <w:pPr>
              <w:pStyle w:val="25"/>
              <w:numPr>
                <w:ilvl w:val="1"/>
                <w:numId w:val="8"/>
              </w:numPr>
              <w:ind w:left="1440"/>
              <w:rPr>
                <w:rFonts w:hint="default" w:ascii="Arial" w:hAnsi="Arial" w:cs="Arial"/>
                <w:bCs/>
                <w:sz w:val="21"/>
                <w:szCs w:val="21"/>
              </w:rPr>
            </w:pPr>
            <w:r>
              <w:rPr>
                <w:rFonts w:hint="default" w:ascii="Arial" w:hAnsi="Arial" w:cs="Arial"/>
                <w:bCs/>
                <w:sz w:val="21"/>
                <w:szCs w:val="21"/>
              </w:rPr>
              <w:t>The network can decide when to start/stop the data collection and send configuration.</w:t>
            </w:r>
          </w:p>
          <w:p w14:paraId="458EA3B2">
            <w:pPr>
              <w:pStyle w:val="25"/>
              <w:numPr>
                <w:ilvl w:val="1"/>
                <w:numId w:val="8"/>
              </w:numPr>
              <w:ind w:left="1440"/>
            </w:pPr>
            <w:r>
              <w:rPr>
                <w:rFonts w:hint="default" w:ascii="Arial" w:hAnsi="Arial" w:cs="Arial"/>
                <w:bCs/>
                <w:sz w:val="21"/>
                <w:szCs w:val="21"/>
              </w:rPr>
              <w:t>The network can configure whether UE is allowed to initiate request for data collection (e.g. start/stop indication).</w:t>
            </w:r>
          </w:p>
        </w:tc>
      </w:tr>
    </w:tbl>
    <w:p w14:paraId="5557371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In last meeting, RAN2 agreed to use AI/ML PHY request/configuration framework as baseline. We believe that the above agreements can be also applied for UE side data collection for RRM measurement prediction and measurement event prediction use cases.</w:t>
      </w:r>
    </w:p>
    <w:p w14:paraId="4EDC097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1: The following agreements on request/configuration for UE side data collection in AI/ML PHY are also applied for RRM measurement prediction and measurement event prediction.</w:t>
      </w:r>
    </w:p>
    <w:p w14:paraId="52208F2A">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b/>
          <w:bCs/>
          <w:sz w:val="21"/>
          <w:szCs w:val="21"/>
          <w:lang w:val="en-US" w:eastAsia="zh-CN"/>
        </w:rPr>
      </w:pPr>
      <w:r>
        <w:rPr>
          <w:rFonts w:hint="eastAsia" w:ascii="Arial" w:hAnsi="Arial" w:eastAsia="等线" w:cs="Arial"/>
          <w:b/>
          <w:bCs/>
          <w:sz w:val="21"/>
          <w:szCs w:val="21"/>
          <w:lang w:val="en-US" w:eastAsia="zh-CN"/>
        </w:rPr>
        <w:t xml:space="preserve">-  </w:t>
      </w:r>
      <w:r>
        <w:rPr>
          <w:rFonts w:hint="default" w:ascii="Arial" w:hAnsi="Arial" w:eastAsia="等线" w:cs="Arial"/>
          <w:b/>
          <w:bCs/>
          <w:sz w:val="21"/>
          <w:szCs w:val="21"/>
          <w:lang w:val="en-US" w:eastAsia="zh-CN"/>
        </w:rPr>
        <w:t>The UE can request measurement configuration for data collection of AI/ML based beam management. The request can contain one or more of the following:</w:t>
      </w:r>
    </w:p>
    <w:p w14:paraId="5A044232">
      <w:pPr>
        <w:keepNext w:val="0"/>
        <w:keepLines w:val="0"/>
        <w:pageBreakBefore w:val="0"/>
        <w:widowControl w:val="0"/>
        <w:kinsoku/>
        <w:wordWrap/>
        <w:overflowPunct/>
        <w:topLinePunct w:val="0"/>
        <w:autoSpaceDE/>
        <w:autoSpaceDN/>
        <w:bidi w:val="0"/>
        <w:adjustRightInd/>
        <w:snapToGrid/>
        <w:spacing w:before="0" w:beforeLines="50" w:after="120"/>
        <w:ind w:leftChars="200"/>
        <w:jc w:val="both"/>
        <w:textAlignment w:val="auto"/>
        <w:rPr>
          <w:rFonts w:hint="default" w:ascii="Arial" w:hAnsi="Arial" w:eastAsia="等线" w:cs="Arial"/>
          <w:b/>
          <w:bCs/>
          <w:sz w:val="21"/>
          <w:szCs w:val="21"/>
          <w:lang w:val="en-US" w:eastAsia="zh-CN"/>
        </w:rPr>
      </w:pPr>
      <w:r>
        <w:rPr>
          <w:rFonts w:hint="default" w:ascii="Arial" w:hAnsi="Arial" w:eastAsia="等线" w:cs="Arial"/>
          <w:b/>
          <w:bCs/>
          <w:sz w:val="21"/>
          <w:szCs w:val="21"/>
          <w:lang w:val="en-US" w:eastAsia="zh-CN"/>
        </w:rPr>
        <w:t>•</w:t>
      </w:r>
      <w:r>
        <w:rPr>
          <w:rFonts w:hint="default" w:ascii="Arial" w:hAnsi="Arial" w:eastAsia="等线" w:cs="Arial"/>
          <w:b/>
          <w:bCs/>
          <w:sz w:val="21"/>
          <w:szCs w:val="21"/>
          <w:lang w:val="en-US" w:eastAsia="zh-CN"/>
        </w:rPr>
        <w:tab/>
      </w:r>
      <w:r>
        <w:rPr>
          <w:rFonts w:hint="default" w:ascii="Arial" w:hAnsi="Arial" w:eastAsia="等线" w:cs="Arial"/>
          <w:b/>
          <w:bCs/>
          <w:sz w:val="21"/>
          <w:szCs w:val="21"/>
          <w:lang w:val="en-US" w:eastAsia="zh-CN"/>
        </w:rPr>
        <w:t>An indication on start/stop of data collection</w:t>
      </w:r>
    </w:p>
    <w:p w14:paraId="79713972">
      <w:pPr>
        <w:keepNext w:val="0"/>
        <w:keepLines w:val="0"/>
        <w:pageBreakBefore w:val="0"/>
        <w:widowControl w:val="0"/>
        <w:kinsoku/>
        <w:wordWrap/>
        <w:overflowPunct/>
        <w:topLinePunct w:val="0"/>
        <w:autoSpaceDE/>
        <w:autoSpaceDN/>
        <w:bidi w:val="0"/>
        <w:adjustRightInd/>
        <w:snapToGrid/>
        <w:spacing w:before="0" w:beforeLines="50" w:after="120"/>
        <w:ind w:leftChars="200"/>
        <w:jc w:val="both"/>
        <w:textAlignment w:val="auto"/>
        <w:rPr>
          <w:rFonts w:hint="default" w:ascii="Arial" w:hAnsi="Arial" w:eastAsia="等线" w:cs="Arial"/>
          <w:b/>
          <w:bCs/>
          <w:sz w:val="21"/>
          <w:szCs w:val="21"/>
          <w:lang w:val="en-US" w:eastAsia="zh-CN"/>
        </w:rPr>
      </w:pPr>
      <w:r>
        <w:rPr>
          <w:rFonts w:hint="default" w:ascii="Arial" w:hAnsi="Arial" w:eastAsia="等线" w:cs="Arial"/>
          <w:b/>
          <w:bCs/>
          <w:sz w:val="21"/>
          <w:szCs w:val="21"/>
          <w:lang w:val="en-US" w:eastAsia="zh-CN"/>
        </w:rPr>
        <w:t>•</w:t>
      </w:r>
      <w:r>
        <w:rPr>
          <w:rFonts w:hint="default" w:ascii="Arial" w:hAnsi="Arial" w:eastAsia="等线" w:cs="Arial"/>
          <w:b/>
          <w:bCs/>
          <w:sz w:val="21"/>
          <w:szCs w:val="21"/>
          <w:lang w:val="en-US" w:eastAsia="zh-CN"/>
        </w:rPr>
        <w:tab/>
      </w:r>
      <w:r>
        <w:rPr>
          <w:rFonts w:hint="default" w:ascii="Arial" w:hAnsi="Arial" w:eastAsia="等线" w:cs="Arial"/>
          <w:b/>
          <w:bCs/>
          <w:sz w:val="21"/>
          <w:szCs w:val="21"/>
          <w:lang w:val="en-US" w:eastAsia="zh-CN"/>
        </w:rPr>
        <w:t>Preferred configuration from a list of candidate configurations provided by NW. Details of signaling are FFS. It is up to network what it configures at the end.</w:t>
      </w:r>
    </w:p>
    <w:p w14:paraId="2E7880FF">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cs="Arial"/>
          <w:b/>
          <w:bCs/>
          <w:sz w:val="21"/>
          <w:szCs w:val="21"/>
        </w:rPr>
      </w:pPr>
      <w:r>
        <w:rPr>
          <w:rFonts w:hint="eastAsia" w:ascii="Arial" w:hAnsi="Arial" w:cs="Arial"/>
          <w:b/>
          <w:bCs/>
          <w:sz w:val="21"/>
          <w:szCs w:val="21"/>
          <w:lang w:val="en-US" w:eastAsia="zh-CN"/>
        </w:rPr>
        <w:t xml:space="preserve">-  </w:t>
      </w:r>
      <w:r>
        <w:rPr>
          <w:rFonts w:hint="default" w:ascii="Arial" w:hAnsi="Arial" w:cs="Arial"/>
          <w:b/>
          <w:bCs/>
          <w:sz w:val="21"/>
          <w:szCs w:val="21"/>
        </w:rPr>
        <w:t>Introduce UAI message for UE request of data collection measurement configuration. And it is up to UE implementation when to send the request.</w:t>
      </w:r>
    </w:p>
    <w:p w14:paraId="6099C3A3">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  Data collection related configuration(s) and associated ID(s)(if needed) can be included in training data collection configuration.</w:t>
      </w:r>
    </w:p>
    <w:p w14:paraId="1FE6C40F">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 xml:space="preserve">-  </w:t>
      </w:r>
      <w:r>
        <w:rPr>
          <w:rFonts w:hint="default" w:ascii="Arial" w:hAnsi="Arial" w:cs="Arial"/>
          <w:b/>
          <w:bCs/>
          <w:sz w:val="21"/>
          <w:szCs w:val="21"/>
          <w:lang w:val="en-US" w:eastAsia="zh-CN"/>
        </w:rPr>
        <w:t>The network can provide or release the data collection configuration (at any point in time), with or without UE request.</w:t>
      </w:r>
    </w:p>
    <w:p w14:paraId="57A468F1">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  The following methods for network control of the initiation and configuration for data collection:</w:t>
      </w:r>
    </w:p>
    <w:p w14:paraId="55AFE44C">
      <w:pPr>
        <w:keepNext w:val="0"/>
        <w:keepLines w:val="0"/>
        <w:pageBreakBefore w:val="0"/>
        <w:widowControl w:val="0"/>
        <w:kinsoku/>
        <w:wordWrap/>
        <w:overflowPunct/>
        <w:topLinePunct w:val="0"/>
        <w:autoSpaceDE/>
        <w:autoSpaceDN/>
        <w:bidi w:val="0"/>
        <w:adjustRightInd/>
        <w:snapToGrid/>
        <w:spacing w:before="0" w:beforeLines="50" w:after="120"/>
        <w:ind w:leftChars="200"/>
        <w:jc w:val="both"/>
        <w:textAlignment w:val="auto"/>
        <w:rPr>
          <w:rFonts w:hint="default" w:ascii="Arial" w:hAnsi="Arial" w:eastAsia="等线" w:cs="Arial"/>
          <w:b/>
          <w:bCs/>
          <w:sz w:val="21"/>
          <w:szCs w:val="21"/>
          <w:lang w:val="en-US" w:eastAsia="zh-CN"/>
        </w:rPr>
      </w:pPr>
      <w:r>
        <w:rPr>
          <w:rFonts w:hint="default" w:ascii="Arial" w:hAnsi="Arial" w:eastAsia="等线" w:cs="Arial"/>
          <w:b/>
          <w:bCs/>
          <w:sz w:val="21"/>
          <w:szCs w:val="21"/>
          <w:lang w:val="en-US" w:eastAsia="zh-CN"/>
        </w:rPr>
        <w:t>•</w:t>
      </w:r>
      <w:r>
        <w:rPr>
          <w:rFonts w:hint="default" w:ascii="Arial" w:hAnsi="Arial" w:eastAsia="等线" w:cs="Arial"/>
          <w:b/>
          <w:bCs/>
          <w:sz w:val="21"/>
          <w:szCs w:val="21"/>
          <w:lang w:val="en-US" w:eastAsia="zh-CN"/>
        </w:rPr>
        <w:tab/>
      </w:r>
      <w:r>
        <w:rPr>
          <w:rFonts w:hint="default" w:ascii="Arial" w:hAnsi="Arial" w:eastAsia="等线" w:cs="Arial"/>
          <w:b/>
          <w:bCs/>
          <w:sz w:val="21"/>
          <w:szCs w:val="21"/>
          <w:lang w:val="en-US" w:eastAsia="zh-CN"/>
        </w:rPr>
        <w:t>The network can decide when to start/stop the data collection and send configuration.</w:t>
      </w:r>
    </w:p>
    <w:p w14:paraId="24D38ED7">
      <w:pPr>
        <w:keepNext w:val="0"/>
        <w:keepLines w:val="0"/>
        <w:pageBreakBefore w:val="0"/>
        <w:widowControl w:val="0"/>
        <w:kinsoku/>
        <w:wordWrap/>
        <w:overflowPunct/>
        <w:topLinePunct w:val="0"/>
        <w:autoSpaceDE/>
        <w:autoSpaceDN/>
        <w:bidi w:val="0"/>
        <w:adjustRightInd/>
        <w:snapToGrid/>
        <w:spacing w:before="0" w:beforeLines="50" w:after="120"/>
        <w:ind w:leftChars="200"/>
        <w:jc w:val="both"/>
        <w:textAlignment w:val="auto"/>
        <w:rPr>
          <w:rFonts w:hint="default" w:ascii="Arial" w:hAnsi="Arial" w:eastAsia="等线" w:cs="Arial"/>
          <w:b/>
          <w:bCs/>
          <w:sz w:val="21"/>
          <w:szCs w:val="21"/>
          <w:lang w:val="en-US" w:eastAsia="zh-CN"/>
        </w:rPr>
      </w:pPr>
      <w:r>
        <w:rPr>
          <w:rFonts w:hint="default" w:ascii="Arial" w:hAnsi="Arial" w:eastAsia="等线" w:cs="Arial"/>
          <w:b/>
          <w:bCs/>
          <w:sz w:val="21"/>
          <w:szCs w:val="21"/>
          <w:lang w:val="en-US" w:eastAsia="zh-CN"/>
        </w:rPr>
        <w:t>•</w:t>
      </w:r>
      <w:r>
        <w:rPr>
          <w:rFonts w:hint="default" w:ascii="Arial" w:hAnsi="Arial" w:eastAsia="等线" w:cs="Arial"/>
          <w:b/>
          <w:bCs/>
          <w:sz w:val="21"/>
          <w:szCs w:val="21"/>
          <w:lang w:val="en-US" w:eastAsia="zh-CN"/>
        </w:rPr>
        <w:tab/>
      </w:r>
      <w:r>
        <w:rPr>
          <w:rFonts w:hint="default" w:ascii="Arial" w:hAnsi="Arial" w:eastAsia="等线" w:cs="Arial"/>
          <w:b/>
          <w:bCs/>
          <w:sz w:val="21"/>
          <w:szCs w:val="21"/>
          <w:lang w:val="en-US" w:eastAsia="zh-CN"/>
        </w:rPr>
        <w:t>The network can configure whether UE is allowed to initiate request for data collection (e.g. start/stop indication).</w:t>
      </w:r>
    </w:p>
    <w:p w14:paraId="1C3AF3E2">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In last meeting, RAN2 agreed that the UE configuration is provided via the RRM measurement framework for NW side data collection. For UE side data collection, the RRM measurement framework can be also used to provide the data collection configuration to the UE.</w:t>
      </w:r>
    </w:p>
    <w:p w14:paraId="25347D88">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2: For UE side data collection, the RRM measurement framework is used to provide the data collection configuration to the UE.</w:t>
      </w:r>
    </w:p>
    <w:p w14:paraId="1E9ED3FB">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In AI/ML PHY, RAN2 agreed that the UE doesn</w:t>
      </w:r>
      <w:r>
        <w:rPr>
          <w:rFonts w:hint="default" w:ascii="Arial" w:hAnsi="Arial" w:eastAsia="等线" w:cs="Arial"/>
          <w:lang w:val="en-US" w:eastAsia="zh-CN"/>
        </w:rPr>
        <w:t>’</w:t>
      </w:r>
      <w:r>
        <w:rPr>
          <w:rFonts w:hint="eastAsia" w:ascii="Arial" w:hAnsi="Arial" w:eastAsia="等线" w:cs="Arial"/>
          <w:lang w:val="en-US" w:eastAsia="zh-CN"/>
        </w:rPr>
        <w:t>t need to measure the candidate data collection configuration(s). The similar principle is also applicable for AI Mob.</w:t>
      </w:r>
    </w:p>
    <w:p w14:paraId="6C6C1CA9">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3: For AI Mob, the UE doesn</w:t>
      </w:r>
      <w:r>
        <w:rPr>
          <w:rFonts w:hint="default" w:ascii="Arial" w:hAnsi="Arial" w:eastAsia="等线" w:cs="Arial"/>
          <w:b/>
          <w:bCs/>
          <w:lang w:val="en-US" w:eastAsia="zh-CN"/>
        </w:rPr>
        <w:t>’</w:t>
      </w:r>
      <w:r>
        <w:rPr>
          <w:rFonts w:hint="eastAsia" w:ascii="Arial" w:hAnsi="Arial" w:eastAsia="等线" w:cs="Arial"/>
          <w:b/>
          <w:bCs/>
          <w:lang w:val="en-US" w:eastAsia="zh-CN"/>
        </w:rPr>
        <w:t>t need to measure the candidate data collection configuration(s).</w:t>
      </w:r>
    </w:p>
    <w:p w14:paraId="3AD3F3F7">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For candidate data collection configuration, RAN2 needs to discuss the content of configuration for UE side data collection. In last meeting, RAN2 agreed that associated ID should be optionally configurable for training and inference.</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2358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EA49ECF">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宋体" w:cs="Arial"/>
                <w:b/>
                <w:bCs/>
                <w:i w:val="0"/>
                <w:iCs w:val="0"/>
                <w:lang w:val="en-US" w:eastAsia="zh-CN"/>
              </w:rPr>
            </w:pPr>
            <w:r>
              <w:rPr>
                <w:rFonts w:hint="eastAsia" w:ascii="Arial" w:hAnsi="Arial" w:eastAsia="宋体" w:cs="Arial"/>
                <w:b/>
                <w:bCs/>
                <w:i w:val="0"/>
                <w:iCs w:val="0"/>
                <w:lang w:val="en-US" w:eastAsia="zh-CN"/>
              </w:rPr>
              <w:t>RAN2#130 agreements</w:t>
            </w:r>
          </w:p>
          <w:p w14:paraId="4214E6BC">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vertAlign w:val="baseline"/>
                <w:lang w:val="en-US" w:eastAsia="zh-CN"/>
              </w:rPr>
            </w:pPr>
            <w:r>
              <w:rPr>
                <w:rFonts w:hint="default" w:ascii="Arial" w:hAnsi="Arial" w:cs="Arial"/>
                <w:b w:val="0"/>
                <w:bCs/>
              </w:rPr>
              <w:t xml:space="preserve">Associated ID should be optionally configurable for training and inference (i.e. it may not mandatorily required for all training/inference configurations).  FFS for WI phase further details (what absence means, which use case, whether it is per cell or multiple cells/frequency, terminology).  </w:t>
            </w:r>
          </w:p>
        </w:tc>
      </w:tr>
    </w:tbl>
    <w:p w14:paraId="52D83B1A">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For AI/ML PHY, RAN2 agreed that the candidate data collection configuration includes at least CSI resource of Set A, Set B, and one/two associated IDs.</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3D7E3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6556C63">
            <w:pPr>
              <w:pStyle w:val="25"/>
              <w:numPr>
                <w:ilvl w:val="0"/>
                <w:numId w:val="0"/>
              </w:numPr>
              <w:ind w:leftChars="0"/>
              <w:rPr>
                <w:rFonts w:hint="default" w:ascii="Arial" w:hAnsi="Arial" w:cs="Arial"/>
                <w:i/>
                <w:iCs/>
              </w:rPr>
            </w:pPr>
            <w:r>
              <w:rPr>
                <w:rFonts w:hint="eastAsia" w:ascii="Arial" w:hAnsi="Arial" w:eastAsia="宋体" w:cs="Arial"/>
                <w:b/>
                <w:bCs/>
                <w:i w:val="0"/>
                <w:iCs w:val="0"/>
                <w:lang w:val="en-US" w:eastAsia="zh-CN"/>
              </w:rPr>
              <w:t>RAN2 agreements on AI/ML PHY</w:t>
            </w:r>
            <w:r>
              <w:rPr>
                <w:rFonts w:hint="default" w:ascii="Arial" w:hAnsi="Arial" w:cs="Arial"/>
                <w:i/>
                <w:iCs/>
              </w:rPr>
              <w:t xml:space="preserve"> </w:t>
            </w:r>
          </w:p>
          <w:p w14:paraId="48D0CBDF">
            <w:pPr>
              <w:pStyle w:val="25"/>
              <w:numPr>
                <w:ilvl w:val="0"/>
                <w:numId w:val="0"/>
              </w:numPr>
              <w:ind w:leftChars="0"/>
              <w:rPr>
                <w:rFonts w:hint="default" w:ascii="Arial" w:hAnsi="Arial" w:cs="Arial"/>
              </w:rPr>
            </w:pPr>
            <w:r>
              <w:rPr>
                <w:rFonts w:hint="default" w:ascii="Arial" w:hAnsi="Arial" w:cs="Arial"/>
              </w:rPr>
              <w:t>For beam management, candidate data collection configuration includes at least:</w:t>
            </w:r>
          </w:p>
          <w:p w14:paraId="5B37397E">
            <w:pPr>
              <w:pStyle w:val="25"/>
              <w:ind w:left="726"/>
              <w:rPr>
                <w:rFonts w:hint="default" w:ascii="Arial" w:hAnsi="Arial" w:cs="Arial"/>
              </w:rPr>
            </w:pPr>
            <w:r>
              <w:rPr>
                <w:rFonts w:hint="default" w:ascii="Arial" w:hAnsi="Arial" w:cs="Arial"/>
              </w:rPr>
              <w:t>-</w:t>
            </w:r>
            <w:r>
              <w:rPr>
                <w:rFonts w:hint="default" w:ascii="Arial" w:hAnsi="Arial" w:cs="Arial"/>
              </w:rPr>
              <w:tab/>
            </w:r>
            <w:r>
              <w:rPr>
                <w:rFonts w:hint="default" w:ascii="Arial" w:hAnsi="Arial" w:cs="Arial"/>
              </w:rPr>
              <w:t>CSI-ResourceConfigId of Set A</w:t>
            </w:r>
          </w:p>
          <w:p w14:paraId="620076B5">
            <w:pPr>
              <w:pStyle w:val="25"/>
              <w:ind w:left="726"/>
              <w:rPr>
                <w:rFonts w:hint="default" w:ascii="Arial" w:hAnsi="Arial" w:cs="Arial"/>
              </w:rPr>
            </w:pPr>
            <w:r>
              <w:rPr>
                <w:rFonts w:hint="default" w:ascii="Arial" w:hAnsi="Arial" w:cs="Arial"/>
              </w:rPr>
              <w:t>-</w:t>
            </w:r>
            <w:r>
              <w:rPr>
                <w:rFonts w:hint="default" w:ascii="Arial" w:hAnsi="Arial" w:cs="Arial"/>
              </w:rPr>
              <w:tab/>
            </w:r>
            <w:r>
              <w:rPr>
                <w:rFonts w:hint="default" w:ascii="Arial" w:hAnsi="Arial" w:cs="Arial"/>
              </w:rPr>
              <w:t>CSI-ResourceConfigId of Set B</w:t>
            </w:r>
          </w:p>
          <w:p w14:paraId="3FC7D5BA">
            <w:pPr>
              <w:pStyle w:val="25"/>
              <w:ind w:left="726"/>
              <w:rPr>
                <w:rFonts w:hint="default" w:ascii="Arial" w:hAnsi="Arial" w:cs="Arial"/>
              </w:rPr>
            </w:pPr>
            <w:r>
              <w:rPr>
                <w:rFonts w:hint="default" w:ascii="Arial" w:hAnsi="Arial" w:cs="Arial"/>
              </w:rPr>
              <w:t>-</w:t>
            </w:r>
            <w:r>
              <w:rPr>
                <w:rFonts w:hint="default" w:ascii="Arial" w:hAnsi="Arial" w:cs="Arial"/>
              </w:rPr>
              <w:tab/>
            </w:r>
            <w:r>
              <w:rPr>
                <w:rFonts w:hint="default" w:ascii="Arial" w:hAnsi="Arial" w:cs="Arial"/>
              </w:rPr>
              <w:t xml:space="preserve">One/two associated IDs (up to whether Set B is equal/subset of Set A or not) according to RAN1 agreements </w:t>
            </w:r>
          </w:p>
          <w:p w14:paraId="5660348C">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vertAlign w:val="baseline"/>
                <w:lang w:val="en-US" w:eastAsia="zh-CN"/>
              </w:rPr>
            </w:pPr>
            <w:r>
              <w:rPr>
                <w:rFonts w:hint="default" w:ascii="Arial" w:hAnsi="Arial" w:cs="Arial"/>
              </w:rPr>
              <w:tab/>
            </w:r>
            <w:r>
              <w:rPr>
                <w:rFonts w:hint="default" w:ascii="Arial" w:hAnsi="Arial" w:cs="Arial"/>
              </w:rPr>
              <w:t>FFS the details of how this is signalled (e.g. CSIReport config or simplified signaling)</w:t>
            </w:r>
          </w:p>
        </w:tc>
      </w:tr>
    </w:tbl>
    <w:p w14:paraId="5E5DBDE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For AI/ML based RRM measurement prediction and indirect measurement event prediction, the configuration includes at least measurement resource of cell(s) and/or frequency(es), and (optional) associated ID.</w:t>
      </w:r>
    </w:p>
    <w:p w14:paraId="6D852D8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4: For AI/ML based RRM measurement prediction and indirect measurement event prediction, the configuration includes at least:</w:t>
      </w:r>
    </w:p>
    <w:p w14:paraId="7DA357DE">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 measurement resource of cell(s) and/or frequency(es)</w:t>
      </w:r>
    </w:p>
    <w:p w14:paraId="183D0DC4">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(optional) associated ID</w:t>
      </w:r>
    </w:p>
    <w:p w14:paraId="7E64DC7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lang w:val="en-US" w:eastAsia="zh-CN"/>
        </w:rPr>
      </w:pPr>
      <w:r>
        <w:rPr>
          <w:rFonts w:hint="eastAsia" w:ascii="Arial" w:hAnsi="Arial" w:eastAsia="等线" w:cs="Arial"/>
          <w:lang w:val="en-US" w:eastAsia="zh-CN"/>
        </w:rPr>
        <w:t>For AI/ML based direct measurement event prediction, the configuration includes at least measurement resource of cell(s) and/or frequency(es), measurement event configuration, and (optional) associated ID.</w:t>
      </w:r>
    </w:p>
    <w:p w14:paraId="748ECE4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5: For AI/ML based direct measurement event prediction, the configuration includes at least:</w:t>
      </w:r>
    </w:p>
    <w:p w14:paraId="49BE0B71">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 measurement resource of cell(s) and/or frequency(es)</w:t>
      </w:r>
    </w:p>
    <w:p w14:paraId="695D3C01">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 measurement event configuration</w:t>
      </w:r>
    </w:p>
    <w:p w14:paraId="1598C558">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(optional) associated ID</w:t>
      </w:r>
    </w:p>
    <w:p w14:paraId="1468A65D">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lang w:val="en-US" w:eastAsia="zh-CN"/>
        </w:rPr>
        <w:t xml:space="preserve">During the discussion on beam management in AI/ML PHY, the </w:t>
      </w:r>
      <w:r>
        <w:rPr>
          <w:rFonts w:hint="eastAsia" w:ascii="Arial" w:hAnsi="Arial" w:eastAsia="等线" w:cs="Arial"/>
          <w:i/>
          <w:iCs/>
          <w:lang w:val="en-US" w:eastAsia="zh-CN"/>
        </w:rPr>
        <w:t xml:space="preserve">dataCollectionPreferredConfiguration </w:t>
      </w:r>
      <w:r>
        <w:rPr>
          <w:rFonts w:hint="eastAsia" w:ascii="Arial" w:hAnsi="Arial" w:eastAsia="等线" w:cs="Arial"/>
          <w:lang w:val="en-US" w:eastAsia="zh-CN"/>
        </w:rPr>
        <w:t>IE is introduced to indicate the preferred configuration(s) among the candidate configuration(s) for UE side data collection. For AI Mob, given the multiple different use cases, e.g. time/spatial/frequency RRM measurement prediction, L1/L3 beam/cell level measurement prediction, and direct/indirect measurement event prediction, the network may not configure the data collection configurations for all scenarios considering the complexity and signaling overhead. Therefore, there may be no UE preferred configuration among candidate configurations. We think the potential enhancement can be considered that the UE is allowed to request data collection configuration for other cells or frequencies which are not configured within the candidate configuration for UE side data collection.</w:t>
      </w:r>
    </w:p>
    <w:p w14:paraId="73AD4AC5">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r>
        <w:rPr>
          <w:rFonts w:hint="eastAsia" w:ascii="Arial" w:hAnsi="Arial" w:eastAsia="等线" w:cs="Arial"/>
          <w:b/>
          <w:bCs/>
          <w:lang w:val="en-US" w:eastAsia="zh-CN"/>
        </w:rPr>
        <w:t xml:space="preserve">Proposal 6: The </w:t>
      </w:r>
      <w:r>
        <w:rPr>
          <w:rFonts w:hint="eastAsia" w:ascii="Arial" w:hAnsi="Arial" w:eastAsia="等线" w:cs="Arial"/>
          <w:b/>
          <w:bCs/>
          <w:i/>
          <w:iCs/>
          <w:lang w:val="en-US" w:eastAsia="zh-CN"/>
        </w:rPr>
        <w:t xml:space="preserve">dataCollectionPreferredConfiguration </w:t>
      </w:r>
      <w:r>
        <w:rPr>
          <w:rFonts w:hint="eastAsia" w:ascii="Arial" w:hAnsi="Arial" w:eastAsia="等线" w:cs="Arial"/>
          <w:b/>
          <w:bCs/>
          <w:lang w:val="en-US" w:eastAsia="zh-CN"/>
        </w:rPr>
        <w:t>IE may be enhanced to allow the UE to request data collection configuration for other cells or frequencies which are not configured within the candidate configuration for UE side data collection.</w:t>
      </w:r>
    </w:p>
    <w:p w14:paraId="2D0257E2">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p>
    <w:p w14:paraId="6B6786D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68517A62">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proposals on UE side data collection for AI Mob</w:t>
      </w:r>
      <w:r>
        <w:rPr>
          <w:rFonts w:ascii="Arial" w:hAnsi="Arial" w:eastAsia="宋体" w:cs="Arial"/>
          <w:kern w:val="0"/>
          <w:sz w:val="21"/>
          <w:szCs w:val="21"/>
          <w:lang w:val="en-GB" w:eastAsia="en-US"/>
        </w:rPr>
        <w:t>.</w:t>
      </w:r>
    </w:p>
    <w:p w14:paraId="4CC31AA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1: The following agreements on request/configuration for UE side data collection in AI/ML PHY are also applied for RRM measurement prediction and measurement event prediction.</w:t>
      </w:r>
    </w:p>
    <w:p w14:paraId="118021BD">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b/>
          <w:bCs/>
          <w:sz w:val="21"/>
          <w:szCs w:val="21"/>
          <w:lang w:val="en-US" w:eastAsia="zh-CN"/>
        </w:rPr>
      </w:pPr>
      <w:r>
        <w:rPr>
          <w:rFonts w:hint="eastAsia" w:ascii="Arial" w:hAnsi="Arial" w:eastAsia="等线" w:cs="Arial"/>
          <w:b/>
          <w:bCs/>
          <w:sz w:val="21"/>
          <w:szCs w:val="21"/>
          <w:lang w:val="en-US" w:eastAsia="zh-CN"/>
        </w:rPr>
        <w:t xml:space="preserve">-  </w:t>
      </w:r>
      <w:r>
        <w:rPr>
          <w:rFonts w:hint="default" w:ascii="Arial" w:hAnsi="Arial" w:eastAsia="等线" w:cs="Arial"/>
          <w:b/>
          <w:bCs/>
          <w:sz w:val="21"/>
          <w:szCs w:val="21"/>
          <w:lang w:val="en-US" w:eastAsia="zh-CN"/>
        </w:rPr>
        <w:t>The UE can request measurement configuration for data collection of AI/ML based beam management. The request can contain one or more of the following:</w:t>
      </w:r>
    </w:p>
    <w:p w14:paraId="7CE86D55">
      <w:pPr>
        <w:keepNext w:val="0"/>
        <w:keepLines w:val="0"/>
        <w:pageBreakBefore w:val="0"/>
        <w:widowControl w:val="0"/>
        <w:kinsoku/>
        <w:wordWrap/>
        <w:overflowPunct/>
        <w:topLinePunct w:val="0"/>
        <w:autoSpaceDE/>
        <w:autoSpaceDN/>
        <w:bidi w:val="0"/>
        <w:adjustRightInd/>
        <w:snapToGrid/>
        <w:spacing w:before="0" w:beforeLines="50" w:after="120"/>
        <w:ind w:leftChars="200"/>
        <w:jc w:val="both"/>
        <w:textAlignment w:val="auto"/>
        <w:rPr>
          <w:rFonts w:hint="default" w:ascii="Arial" w:hAnsi="Arial" w:eastAsia="等线" w:cs="Arial"/>
          <w:b/>
          <w:bCs/>
          <w:sz w:val="21"/>
          <w:szCs w:val="21"/>
          <w:lang w:val="en-US" w:eastAsia="zh-CN"/>
        </w:rPr>
      </w:pPr>
      <w:r>
        <w:rPr>
          <w:rFonts w:hint="default" w:ascii="Arial" w:hAnsi="Arial" w:eastAsia="等线" w:cs="Arial"/>
          <w:b/>
          <w:bCs/>
          <w:sz w:val="21"/>
          <w:szCs w:val="21"/>
          <w:lang w:val="en-US" w:eastAsia="zh-CN"/>
        </w:rPr>
        <w:t>•</w:t>
      </w:r>
      <w:r>
        <w:rPr>
          <w:rFonts w:hint="default" w:ascii="Arial" w:hAnsi="Arial" w:eastAsia="等线" w:cs="Arial"/>
          <w:b/>
          <w:bCs/>
          <w:sz w:val="21"/>
          <w:szCs w:val="21"/>
          <w:lang w:val="en-US" w:eastAsia="zh-CN"/>
        </w:rPr>
        <w:tab/>
      </w:r>
      <w:r>
        <w:rPr>
          <w:rFonts w:hint="default" w:ascii="Arial" w:hAnsi="Arial" w:eastAsia="等线" w:cs="Arial"/>
          <w:b/>
          <w:bCs/>
          <w:sz w:val="21"/>
          <w:szCs w:val="21"/>
          <w:lang w:val="en-US" w:eastAsia="zh-CN"/>
        </w:rPr>
        <w:t>An indication on start/stop of data collection</w:t>
      </w:r>
    </w:p>
    <w:p w14:paraId="50E35846">
      <w:pPr>
        <w:keepNext w:val="0"/>
        <w:keepLines w:val="0"/>
        <w:pageBreakBefore w:val="0"/>
        <w:widowControl w:val="0"/>
        <w:kinsoku/>
        <w:wordWrap/>
        <w:overflowPunct/>
        <w:topLinePunct w:val="0"/>
        <w:autoSpaceDE/>
        <w:autoSpaceDN/>
        <w:bidi w:val="0"/>
        <w:adjustRightInd/>
        <w:snapToGrid/>
        <w:spacing w:before="0" w:beforeLines="50" w:after="120"/>
        <w:ind w:leftChars="200"/>
        <w:jc w:val="both"/>
        <w:textAlignment w:val="auto"/>
        <w:rPr>
          <w:rFonts w:hint="default" w:ascii="Arial" w:hAnsi="Arial" w:eastAsia="等线" w:cs="Arial"/>
          <w:b/>
          <w:bCs/>
          <w:sz w:val="21"/>
          <w:szCs w:val="21"/>
          <w:lang w:val="en-US" w:eastAsia="zh-CN"/>
        </w:rPr>
      </w:pPr>
      <w:r>
        <w:rPr>
          <w:rFonts w:hint="default" w:ascii="Arial" w:hAnsi="Arial" w:eastAsia="等线" w:cs="Arial"/>
          <w:b/>
          <w:bCs/>
          <w:sz w:val="21"/>
          <w:szCs w:val="21"/>
          <w:lang w:val="en-US" w:eastAsia="zh-CN"/>
        </w:rPr>
        <w:t>•</w:t>
      </w:r>
      <w:r>
        <w:rPr>
          <w:rFonts w:hint="default" w:ascii="Arial" w:hAnsi="Arial" w:eastAsia="等线" w:cs="Arial"/>
          <w:b/>
          <w:bCs/>
          <w:sz w:val="21"/>
          <w:szCs w:val="21"/>
          <w:lang w:val="en-US" w:eastAsia="zh-CN"/>
        </w:rPr>
        <w:tab/>
      </w:r>
      <w:r>
        <w:rPr>
          <w:rFonts w:hint="default" w:ascii="Arial" w:hAnsi="Arial" w:eastAsia="等线" w:cs="Arial"/>
          <w:b/>
          <w:bCs/>
          <w:sz w:val="21"/>
          <w:szCs w:val="21"/>
          <w:lang w:val="en-US" w:eastAsia="zh-CN"/>
        </w:rPr>
        <w:t>Preferred configuration from a list of candidate configurations provided by NW. Details of signaling are FFS. It is up to network what it configures at the end.</w:t>
      </w:r>
    </w:p>
    <w:p w14:paraId="4B5966DD">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cs="Arial"/>
          <w:b/>
          <w:bCs/>
          <w:sz w:val="21"/>
          <w:szCs w:val="21"/>
        </w:rPr>
      </w:pPr>
      <w:r>
        <w:rPr>
          <w:rFonts w:hint="eastAsia" w:ascii="Arial" w:hAnsi="Arial" w:cs="Arial"/>
          <w:b/>
          <w:bCs/>
          <w:sz w:val="21"/>
          <w:szCs w:val="21"/>
          <w:lang w:val="en-US" w:eastAsia="zh-CN"/>
        </w:rPr>
        <w:t xml:space="preserve">-  </w:t>
      </w:r>
      <w:r>
        <w:rPr>
          <w:rFonts w:hint="default" w:ascii="Arial" w:hAnsi="Arial" w:cs="Arial"/>
          <w:b/>
          <w:bCs/>
          <w:sz w:val="21"/>
          <w:szCs w:val="21"/>
        </w:rPr>
        <w:t>Introduce UAI message for UE request of data collection measurement configuration. And it is up to UE implementation when to send the request.</w:t>
      </w:r>
    </w:p>
    <w:p w14:paraId="7537CD37">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  Data collection related configuration(s) and associated ID(s)(if needed) can be included in training data collection configuration.</w:t>
      </w:r>
    </w:p>
    <w:p w14:paraId="487894AB">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cs="Arial"/>
          <w:b/>
          <w:bCs/>
          <w:sz w:val="21"/>
          <w:szCs w:val="21"/>
          <w:lang w:val="en-US" w:eastAsia="zh-CN"/>
        </w:rPr>
      </w:pPr>
      <w:r>
        <w:rPr>
          <w:rFonts w:hint="eastAsia" w:ascii="Arial" w:hAnsi="Arial" w:cs="Arial"/>
          <w:b/>
          <w:bCs/>
          <w:sz w:val="21"/>
          <w:szCs w:val="21"/>
          <w:lang w:val="en-US" w:eastAsia="zh-CN"/>
        </w:rPr>
        <w:t xml:space="preserve">-  </w:t>
      </w:r>
      <w:r>
        <w:rPr>
          <w:rFonts w:hint="default" w:ascii="Arial" w:hAnsi="Arial" w:cs="Arial"/>
          <w:b/>
          <w:bCs/>
          <w:sz w:val="21"/>
          <w:szCs w:val="21"/>
          <w:lang w:val="en-US" w:eastAsia="zh-CN"/>
        </w:rPr>
        <w:t>The network can provide or release the data collection configuration (at any point in time), with or without UE request.</w:t>
      </w:r>
    </w:p>
    <w:p w14:paraId="1565ECBA">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eastAsia" w:ascii="Arial" w:hAnsi="Arial" w:cs="Arial"/>
          <w:b/>
          <w:bCs/>
          <w:sz w:val="21"/>
          <w:szCs w:val="21"/>
          <w:lang w:val="en-US" w:eastAsia="zh-CN"/>
        </w:rPr>
      </w:pPr>
      <w:r>
        <w:rPr>
          <w:rFonts w:hint="eastAsia" w:ascii="Arial" w:hAnsi="Arial" w:cs="Arial"/>
          <w:b/>
          <w:bCs/>
          <w:sz w:val="21"/>
          <w:szCs w:val="21"/>
          <w:lang w:val="en-US" w:eastAsia="zh-CN"/>
        </w:rPr>
        <w:t>-  The following methods for network control of the initiation and configuration for data collection:</w:t>
      </w:r>
    </w:p>
    <w:p w14:paraId="75FBEF39">
      <w:pPr>
        <w:keepNext w:val="0"/>
        <w:keepLines w:val="0"/>
        <w:pageBreakBefore w:val="0"/>
        <w:widowControl w:val="0"/>
        <w:kinsoku/>
        <w:wordWrap/>
        <w:overflowPunct/>
        <w:topLinePunct w:val="0"/>
        <w:autoSpaceDE/>
        <w:autoSpaceDN/>
        <w:bidi w:val="0"/>
        <w:adjustRightInd/>
        <w:snapToGrid/>
        <w:spacing w:before="0" w:beforeLines="50" w:after="120"/>
        <w:ind w:leftChars="200"/>
        <w:jc w:val="both"/>
        <w:textAlignment w:val="auto"/>
        <w:rPr>
          <w:rFonts w:hint="default" w:ascii="Arial" w:hAnsi="Arial" w:eastAsia="等线" w:cs="Arial"/>
          <w:b/>
          <w:bCs/>
          <w:sz w:val="21"/>
          <w:szCs w:val="21"/>
          <w:lang w:val="en-US" w:eastAsia="zh-CN"/>
        </w:rPr>
      </w:pPr>
      <w:r>
        <w:rPr>
          <w:rFonts w:hint="default" w:ascii="Arial" w:hAnsi="Arial" w:eastAsia="等线" w:cs="Arial"/>
          <w:b/>
          <w:bCs/>
          <w:sz w:val="21"/>
          <w:szCs w:val="21"/>
          <w:lang w:val="en-US" w:eastAsia="zh-CN"/>
        </w:rPr>
        <w:t>•</w:t>
      </w:r>
      <w:r>
        <w:rPr>
          <w:rFonts w:hint="default" w:ascii="Arial" w:hAnsi="Arial" w:eastAsia="等线" w:cs="Arial"/>
          <w:b/>
          <w:bCs/>
          <w:sz w:val="21"/>
          <w:szCs w:val="21"/>
          <w:lang w:val="en-US" w:eastAsia="zh-CN"/>
        </w:rPr>
        <w:tab/>
      </w:r>
      <w:r>
        <w:rPr>
          <w:rFonts w:hint="default" w:ascii="Arial" w:hAnsi="Arial" w:eastAsia="等线" w:cs="Arial"/>
          <w:b/>
          <w:bCs/>
          <w:sz w:val="21"/>
          <w:szCs w:val="21"/>
          <w:lang w:val="en-US" w:eastAsia="zh-CN"/>
        </w:rPr>
        <w:t>The network can decide when to start/stop the data collection and send configuration.</w:t>
      </w:r>
    </w:p>
    <w:p w14:paraId="19D688C0">
      <w:pPr>
        <w:keepNext w:val="0"/>
        <w:keepLines w:val="0"/>
        <w:pageBreakBefore w:val="0"/>
        <w:widowControl w:val="0"/>
        <w:kinsoku/>
        <w:wordWrap/>
        <w:overflowPunct/>
        <w:topLinePunct w:val="0"/>
        <w:autoSpaceDE/>
        <w:autoSpaceDN/>
        <w:bidi w:val="0"/>
        <w:adjustRightInd/>
        <w:snapToGrid/>
        <w:spacing w:before="0" w:beforeLines="50" w:after="120"/>
        <w:ind w:leftChars="200"/>
        <w:jc w:val="both"/>
        <w:textAlignment w:val="auto"/>
        <w:rPr>
          <w:rFonts w:hint="default" w:ascii="Arial" w:hAnsi="Arial" w:eastAsia="等线" w:cs="Arial"/>
          <w:b/>
          <w:bCs/>
          <w:sz w:val="21"/>
          <w:szCs w:val="21"/>
          <w:lang w:val="en-US" w:eastAsia="zh-CN"/>
        </w:rPr>
      </w:pPr>
      <w:r>
        <w:rPr>
          <w:rFonts w:hint="default" w:ascii="Arial" w:hAnsi="Arial" w:eastAsia="等线" w:cs="Arial"/>
          <w:b/>
          <w:bCs/>
          <w:sz w:val="21"/>
          <w:szCs w:val="21"/>
          <w:lang w:val="en-US" w:eastAsia="zh-CN"/>
        </w:rPr>
        <w:t>•</w:t>
      </w:r>
      <w:r>
        <w:rPr>
          <w:rFonts w:hint="default" w:ascii="Arial" w:hAnsi="Arial" w:eastAsia="等线" w:cs="Arial"/>
          <w:b/>
          <w:bCs/>
          <w:sz w:val="21"/>
          <w:szCs w:val="21"/>
          <w:lang w:val="en-US" w:eastAsia="zh-CN"/>
        </w:rPr>
        <w:tab/>
      </w:r>
      <w:r>
        <w:rPr>
          <w:rFonts w:hint="default" w:ascii="Arial" w:hAnsi="Arial" w:eastAsia="等线" w:cs="Arial"/>
          <w:b/>
          <w:bCs/>
          <w:sz w:val="21"/>
          <w:szCs w:val="21"/>
          <w:lang w:val="en-US" w:eastAsia="zh-CN"/>
        </w:rPr>
        <w:t>The network can configure whether UE is allowed to initiate request for data collection (e.g. start/stop indication).</w:t>
      </w:r>
    </w:p>
    <w:p w14:paraId="4DA32AB8">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2: For UE side data collection, the RRM measurement framework is used to provide the data collection configuration to the UE.</w:t>
      </w:r>
    </w:p>
    <w:p w14:paraId="4F3F3AD1">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Proposal 3: For AI Mob, the UE doesn</w:t>
      </w:r>
      <w:r>
        <w:rPr>
          <w:rFonts w:hint="default" w:ascii="Arial" w:hAnsi="Arial" w:eastAsia="等线" w:cs="Arial"/>
          <w:b/>
          <w:bCs/>
          <w:lang w:val="en-US" w:eastAsia="zh-CN"/>
        </w:rPr>
        <w:t>’</w:t>
      </w:r>
      <w:r>
        <w:rPr>
          <w:rFonts w:hint="eastAsia" w:ascii="Arial" w:hAnsi="Arial" w:eastAsia="等线" w:cs="Arial"/>
          <w:b/>
          <w:bCs/>
          <w:lang w:val="en-US" w:eastAsia="zh-CN"/>
        </w:rPr>
        <w:t>t need to measure the candidate data collection configuration(s).</w:t>
      </w:r>
    </w:p>
    <w:p w14:paraId="7A19BD96">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4: For AI/ML based RRM measurement prediction and indirect measurement event prediction, the configuration includes at least:</w:t>
      </w:r>
    </w:p>
    <w:p w14:paraId="761BA084">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 measurement resource of cell(s) and/or frequency(es)</w:t>
      </w:r>
    </w:p>
    <w:p w14:paraId="09126700">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(optional) associated ID</w:t>
      </w:r>
    </w:p>
    <w:p w14:paraId="320568C4">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Proposal 5: For AI/ML based direct measurement event prediction, the configuration includes at least:</w:t>
      </w:r>
    </w:p>
    <w:p w14:paraId="49E2F28C">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 measurement resource of cell(s) and/or frequency(es)</w:t>
      </w:r>
    </w:p>
    <w:p w14:paraId="082D1C6D">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eastAsia" w:ascii="Arial" w:hAnsi="Arial" w:eastAsia="等线" w:cs="Arial"/>
          <w:b/>
          <w:bCs/>
          <w:lang w:val="en-US" w:eastAsia="zh-CN"/>
        </w:rPr>
      </w:pPr>
      <w:r>
        <w:rPr>
          <w:rFonts w:hint="eastAsia" w:ascii="Arial" w:hAnsi="Arial" w:eastAsia="等线" w:cs="Arial"/>
          <w:b/>
          <w:bCs/>
          <w:lang w:val="en-US" w:eastAsia="zh-CN"/>
        </w:rPr>
        <w:t>- measurement event configuration</w:t>
      </w:r>
    </w:p>
    <w:p w14:paraId="79B6AB6F">
      <w:pPr>
        <w:keepNext w:val="0"/>
        <w:keepLines w:val="0"/>
        <w:pageBreakBefore w:val="0"/>
        <w:widowControl w:val="0"/>
        <w:kinsoku/>
        <w:wordWrap/>
        <w:overflowPunct/>
        <w:topLinePunct w:val="0"/>
        <w:autoSpaceDE/>
        <w:autoSpaceDN/>
        <w:bidi w:val="0"/>
        <w:adjustRightInd/>
        <w:snapToGrid/>
        <w:spacing w:before="0" w:beforeLines="50" w:after="120"/>
        <w:ind w:leftChars="100"/>
        <w:jc w:val="both"/>
        <w:textAlignment w:val="auto"/>
        <w:rPr>
          <w:rFonts w:hint="default" w:ascii="Arial" w:hAnsi="Arial" w:eastAsia="等线" w:cs="Arial"/>
          <w:b/>
          <w:bCs/>
          <w:lang w:val="en-US" w:eastAsia="zh-CN"/>
        </w:rPr>
      </w:pPr>
      <w:r>
        <w:rPr>
          <w:rFonts w:hint="eastAsia" w:ascii="Arial" w:hAnsi="Arial" w:eastAsia="等线" w:cs="Arial"/>
          <w:b/>
          <w:bCs/>
          <w:lang w:val="en-US" w:eastAsia="zh-CN"/>
        </w:rPr>
        <w:t>- (optional) associated ID</w:t>
      </w:r>
    </w:p>
    <w:p w14:paraId="279320F9">
      <w:pPr>
        <w:keepNext w:val="0"/>
        <w:keepLines w:val="0"/>
        <w:pageBreakBefore w:val="0"/>
        <w:widowControl w:val="0"/>
        <w:kinsoku/>
        <w:wordWrap/>
        <w:overflowPunct/>
        <w:topLinePunct w:val="0"/>
        <w:autoSpaceDE/>
        <w:autoSpaceDN/>
        <w:bidi w:val="0"/>
        <w:adjustRightInd/>
        <w:snapToGrid/>
        <w:spacing w:before="0" w:beforeLines="50" w:after="120"/>
        <w:jc w:val="both"/>
        <w:textAlignment w:val="auto"/>
        <w:rPr>
          <w:rFonts w:hint="default" w:ascii="Arial" w:hAnsi="Arial" w:eastAsia="等线" w:cs="Arial"/>
          <w:lang w:val="en-US" w:eastAsia="zh-CN"/>
        </w:rPr>
      </w:pPr>
      <w:bookmarkStart w:id="0" w:name="_GoBack"/>
      <w:bookmarkEnd w:id="0"/>
      <w:r>
        <w:rPr>
          <w:rFonts w:hint="eastAsia" w:ascii="Arial" w:hAnsi="Arial" w:eastAsia="等线" w:cs="Arial"/>
          <w:b/>
          <w:bCs/>
          <w:lang w:val="en-US" w:eastAsia="zh-CN"/>
        </w:rPr>
        <w:t xml:space="preserve">Proposal 6: The </w:t>
      </w:r>
      <w:r>
        <w:rPr>
          <w:rFonts w:hint="eastAsia" w:ascii="Arial" w:hAnsi="Arial" w:eastAsia="等线" w:cs="Arial"/>
          <w:b/>
          <w:bCs/>
          <w:i/>
          <w:iCs/>
          <w:lang w:val="en-US" w:eastAsia="zh-CN"/>
        </w:rPr>
        <w:t xml:space="preserve">dataCollectionPreferredConfiguration </w:t>
      </w:r>
      <w:r>
        <w:rPr>
          <w:rFonts w:hint="eastAsia" w:ascii="Arial" w:hAnsi="Arial" w:eastAsia="等线" w:cs="Arial"/>
          <w:b/>
          <w:bCs/>
          <w:lang w:val="en-US" w:eastAsia="zh-CN"/>
        </w:rPr>
        <w:t>IE may be enhanced to allow the UE to request data collection configuration for other cells or frequencies which are not configured within the candidate configuration for UE side data collection.</w:t>
      </w:r>
    </w:p>
    <w:p w14:paraId="5390418B">
      <w:pPr>
        <w:jc w:val="both"/>
        <w:rPr>
          <w:rFonts w:hint="eastAsia" w:ascii="Arial" w:hAnsi="Arial" w:eastAsia="等线" w:cs="Arial"/>
          <w:b/>
          <w:bCs/>
          <w:i/>
          <w:iCs/>
          <w:u w:val="single"/>
          <w:lang w:val="en-US" w:eastAsia="zh-CN"/>
        </w:rPr>
      </w:pPr>
    </w:p>
    <w:p w14:paraId="54A4E76F">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2A9D541F">
      <w:pPr>
        <w:widowControl/>
        <w:numPr>
          <w:ilvl w:val="0"/>
          <w:numId w:val="9"/>
        </w:numPr>
        <w:overflowPunct w:val="0"/>
        <w:autoSpaceDE w:val="0"/>
        <w:autoSpaceDN w:val="0"/>
        <w:adjustRightInd w:val="0"/>
        <w:spacing w:after="180"/>
        <w:jc w:val="left"/>
        <w:textAlignment w:val="baseline"/>
        <w:rPr>
          <w:rFonts w:ascii="Arial" w:hAnsi="Arial" w:eastAsia="宋体" w:cs="Arial"/>
          <w:kern w:val="0"/>
          <w:sz w:val="20"/>
          <w:szCs w:val="20"/>
          <w:lang w:val="en-GB"/>
        </w:rPr>
      </w:pPr>
      <w:r>
        <w:rPr>
          <w:rFonts w:hint="eastAsia" w:ascii="Arial" w:hAnsi="Arial" w:eastAsia="宋体" w:cs="Arial"/>
          <w:kern w:val="0"/>
          <w:sz w:val="20"/>
          <w:szCs w:val="20"/>
          <w:lang w:val="en-GB" w:eastAsia="en-US"/>
        </w:rPr>
        <w:t>Draft_R</w:t>
      </w:r>
      <w:r>
        <w:rPr>
          <w:rFonts w:hint="eastAsia" w:ascii="Arial" w:hAnsi="Arial" w:eastAsia="宋体" w:cs="Arial"/>
          <w:kern w:val="0"/>
          <w:sz w:val="20"/>
          <w:szCs w:val="20"/>
          <w:lang w:val="en-US" w:eastAsia="zh-CN"/>
        </w:rPr>
        <w:t>AN</w:t>
      </w:r>
      <w:r>
        <w:rPr>
          <w:rFonts w:hint="eastAsia" w:ascii="Arial" w:hAnsi="Arial" w:eastAsia="宋体" w:cs="Arial"/>
          <w:kern w:val="0"/>
          <w:sz w:val="20"/>
          <w:szCs w:val="20"/>
          <w:lang w:val="en-GB" w:eastAsia="en-US"/>
        </w:rPr>
        <w:t>2_1</w:t>
      </w:r>
      <w:r>
        <w:rPr>
          <w:rFonts w:hint="eastAsia" w:ascii="Arial" w:hAnsi="Arial" w:eastAsia="宋体" w:cs="Arial"/>
          <w:kern w:val="0"/>
          <w:sz w:val="20"/>
          <w:szCs w:val="20"/>
          <w:lang w:val="en-US" w:eastAsia="zh-CN"/>
        </w:rPr>
        <w:t>30</w:t>
      </w:r>
      <w:r>
        <w:rPr>
          <w:rFonts w:hint="eastAsia" w:ascii="Arial" w:hAnsi="Arial" w:eastAsia="宋体" w:cs="Arial"/>
          <w:kern w:val="0"/>
          <w:sz w:val="20"/>
          <w:szCs w:val="20"/>
          <w:lang w:val="en-GB" w:eastAsia="en-US"/>
        </w:rPr>
        <w:t>_Meeting_Report</w:t>
      </w:r>
      <w:r>
        <w:rPr>
          <w:rFonts w:hint="eastAsia" w:ascii="Arial" w:hAnsi="Arial" w:eastAsia="宋体" w:cs="Arial"/>
          <w:kern w:val="0"/>
          <w:sz w:val="20"/>
          <w:szCs w:val="20"/>
          <w:lang w:val="en-US" w:eastAsia="zh-CN"/>
        </w:rPr>
        <w:t>_v3</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05471458"/>
    <w:multiLevelType w:val="multilevel"/>
    <w:tmpl w:val="0547145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3">
    <w:nsid w:val="33F32BF2"/>
    <w:multiLevelType w:val="multilevel"/>
    <w:tmpl w:val="33F32BF2"/>
    <w:lvl w:ilvl="0" w:tentative="0">
      <w:start w:val="1"/>
      <w:numFmt w:val="decimal"/>
      <w:lvlText w:val="%1."/>
      <w:lvlJc w:val="left"/>
      <w:pPr>
        <w:ind w:left="1979" w:hanging="360"/>
      </w:pPr>
      <w:rPr>
        <w:rFonts w:hint="default"/>
      </w:rPr>
    </w:lvl>
    <w:lvl w:ilvl="1" w:tentative="0">
      <w:start w:val="1"/>
      <w:numFmt w:val="lowerLetter"/>
      <w:lvlText w:val="%2."/>
      <w:lvlJc w:val="left"/>
      <w:pPr>
        <w:ind w:left="2699" w:hanging="360"/>
      </w:pPr>
    </w:lvl>
    <w:lvl w:ilvl="2" w:tentative="0">
      <w:start w:val="1"/>
      <w:numFmt w:val="lowerRoman"/>
      <w:lvlText w:val="%3."/>
      <w:lvlJc w:val="right"/>
      <w:pPr>
        <w:ind w:left="3419" w:hanging="180"/>
      </w:pPr>
    </w:lvl>
    <w:lvl w:ilvl="3" w:tentative="0">
      <w:start w:val="1"/>
      <w:numFmt w:val="decimal"/>
      <w:lvlText w:val="%4."/>
      <w:lvlJc w:val="left"/>
      <w:pPr>
        <w:ind w:left="4139" w:hanging="360"/>
      </w:pPr>
    </w:lvl>
    <w:lvl w:ilvl="4" w:tentative="0">
      <w:start w:val="1"/>
      <w:numFmt w:val="lowerLetter"/>
      <w:lvlText w:val="%5."/>
      <w:lvlJc w:val="left"/>
      <w:pPr>
        <w:ind w:left="4859" w:hanging="360"/>
      </w:pPr>
    </w:lvl>
    <w:lvl w:ilvl="5" w:tentative="0">
      <w:start w:val="1"/>
      <w:numFmt w:val="lowerRoman"/>
      <w:lvlText w:val="%6."/>
      <w:lvlJc w:val="right"/>
      <w:pPr>
        <w:ind w:left="5579" w:hanging="180"/>
      </w:pPr>
    </w:lvl>
    <w:lvl w:ilvl="6" w:tentative="0">
      <w:start w:val="1"/>
      <w:numFmt w:val="decimal"/>
      <w:lvlText w:val="%7."/>
      <w:lvlJc w:val="left"/>
      <w:pPr>
        <w:ind w:left="6299" w:hanging="360"/>
      </w:pPr>
    </w:lvl>
    <w:lvl w:ilvl="7" w:tentative="0">
      <w:start w:val="1"/>
      <w:numFmt w:val="lowerLetter"/>
      <w:lvlText w:val="%8."/>
      <w:lvlJc w:val="left"/>
      <w:pPr>
        <w:ind w:left="7019" w:hanging="360"/>
      </w:pPr>
    </w:lvl>
    <w:lvl w:ilvl="8" w:tentative="0">
      <w:start w:val="1"/>
      <w:numFmt w:val="lowerRoman"/>
      <w:lvlText w:val="%9."/>
      <w:lvlJc w:val="right"/>
      <w:pPr>
        <w:ind w:left="7739" w:hanging="180"/>
      </w:pPr>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50BED944"/>
    <w:multiLevelType w:val="singleLevel"/>
    <w:tmpl w:val="50BED944"/>
    <w:lvl w:ilvl="0" w:tentative="0">
      <w:start w:val="1"/>
      <w:numFmt w:val="decimal"/>
      <w:lvlText w:val="%1"/>
      <w:lvlJc w:val="left"/>
    </w:lvl>
  </w:abstractNum>
  <w:abstractNum w:abstractNumId="7">
    <w:nsid w:val="70146DC0"/>
    <w:multiLevelType w:val="multilevel"/>
    <w:tmpl w:val="70146DC0"/>
    <w:lvl w:ilvl="0" w:tentative="0">
      <w:start w:val="1"/>
      <w:numFmt w:val="bullet"/>
      <w:pStyle w:val="32"/>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18D7D2E"/>
    <w:multiLevelType w:val="multilevel"/>
    <w:tmpl w:val="718D7D2E"/>
    <w:lvl w:ilvl="0" w:tentative="0">
      <w:start w:val="1"/>
      <w:numFmt w:val="decimal"/>
      <w:pStyle w:val="30"/>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5"/>
  </w:num>
  <w:num w:numId="2">
    <w:abstractNumId w:val="0"/>
  </w:num>
  <w:num w:numId="3">
    <w:abstractNumId w:val="8"/>
  </w:num>
  <w:num w:numId="4">
    <w:abstractNumId w:val="7"/>
  </w:num>
  <w:num w:numId="5">
    <w:abstractNumId w:val="6"/>
  </w:num>
  <w:num w:numId="6">
    <w:abstractNumId w:val="1"/>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96A53"/>
    <w:rsid w:val="001E2496"/>
    <w:rsid w:val="001F7978"/>
    <w:rsid w:val="002215C2"/>
    <w:rsid w:val="00225D63"/>
    <w:rsid w:val="00234354"/>
    <w:rsid w:val="002650A3"/>
    <w:rsid w:val="002713AD"/>
    <w:rsid w:val="00272AD2"/>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43B8"/>
    <w:rsid w:val="00680623"/>
    <w:rsid w:val="006A149A"/>
    <w:rsid w:val="006A4FB5"/>
    <w:rsid w:val="006B0BFB"/>
    <w:rsid w:val="006D1DA8"/>
    <w:rsid w:val="006F2C45"/>
    <w:rsid w:val="006F304E"/>
    <w:rsid w:val="0074611C"/>
    <w:rsid w:val="007750BC"/>
    <w:rsid w:val="007A2ADF"/>
    <w:rsid w:val="007B28E6"/>
    <w:rsid w:val="007E3904"/>
    <w:rsid w:val="008423DE"/>
    <w:rsid w:val="00843904"/>
    <w:rsid w:val="00894A29"/>
    <w:rsid w:val="008A5A0B"/>
    <w:rsid w:val="008B4719"/>
    <w:rsid w:val="008D110D"/>
    <w:rsid w:val="008E4F97"/>
    <w:rsid w:val="00940BA3"/>
    <w:rsid w:val="00950D36"/>
    <w:rsid w:val="00956A27"/>
    <w:rsid w:val="00982B04"/>
    <w:rsid w:val="009924F0"/>
    <w:rsid w:val="009962E7"/>
    <w:rsid w:val="009A45CA"/>
    <w:rsid w:val="009D3F27"/>
    <w:rsid w:val="009D6CE1"/>
    <w:rsid w:val="009E00D2"/>
    <w:rsid w:val="009E36A7"/>
    <w:rsid w:val="009E6BC9"/>
    <w:rsid w:val="00A350C4"/>
    <w:rsid w:val="00AC3458"/>
    <w:rsid w:val="00AD67D5"/>
    <w:rsid w:val="00AD727F"/>
    <w:rsid w:val="00B24723"/>
    <w:rsid w:val="00B24F10"/>
    <w:rsid w:val="00B73C33"/>
    <w:rsid w:val="00B846FB"/>
    <w:rsid w:val="00B84BEF"/>
    <w:rsid w:val="00BB6E56"/>
    <w:rsid w:val="00C03FFA"/>
    <w:rsid w:val="00C12245"/>
    <w:rsid w:val="00C21C29"/>
    <w:rsid w:val="00C53226"/>
    <w:rsid w:val="00C95F8C"/>
    <w:rsid w:val="00CD18ED"/>
    <w:rsid w:val="00CF2DAA"/>
    <w:rsid w:val="00D66BFB"/>
    <w:rsid w:val="00D9059D"/>
    <w:rsid w:val="00D95195"/>
    <w:rsid w:val="00DA12B1"/>
    <w:rsid w:val="00DA6656"/>
    <w:rsid w:val="00DE185F"/>
    <w:rsid w:val="00DE5620"/>
    <w:rsid w:val="00E00C78"/>
    <w:rsid w:val="00E513DD"/>
    <w:rsid w:val="00E82408"/>
    <w:rsid w:val="00ED765C"/>
    <w:rsid w:val="00EF5EE1"/>
    <w:rsid w:val="00F02DFE"/>
    <w:rsid w:val="00F05AB0"/>
    <w:rsid w:val="00F0760F"/>
    <w:rsid w:val="00F33D13"/>
    <w:rsid w:val="00F47D8B"/>
    <w:rsid w:val="00F50B60"/>
    <w:rsid w:val="00F627D0"/>
    <w:rsid w:val="00F841B6"/>
    <w:rsid w:val="00F92EA1"/>
    <w:rsid w:val="00FE674B"/>
    <w:rsid w:val="01041DE1"/>
    <w:rsid w:val="010D75F4"/>
    <w:rsid w:val="01112D0A"/>
    <w:rsid w:val="012A68CC"/>
    <w:rsid w:val="013400FE"/>
    <w:rsid w:val="016C5974"/>
    <w:rsid w:val="016E658B"/>
    <w:rsid w:val="0174032B"/>
    <w:rsid w:val="01840FB9"/>
    <w:rsid w:val="019404F8"/>
    <w:rsid w:val="01A0498E"/>
    <w:rsid w:val="01A574CF"/>
    <w:rsid w:val="01A60C1B"/>
    <w:rsid w:val="01E966BF"/>
    <w:rsid w:val="02025461"/>
    <w:rsid w:val="02293976"/>
    <w:rsid w:val="02371446"/>
    <w:rsid w:val="02395107"/>
    <w:rsid w:val="02630C48"/>
    <w:rsid w:val="029B08C6"/>
    <w:rsid w:val="02A424C3"/>
    <w:rsid w:val="02B71025"/>
    <w:rsid w:val="02D745F1"/>
    <w:rsid w:val="02DD2D8B"/>
    <w:rsid w:val="02FA6D08"/>
    <w:rsid w:val="0300491B"/>
    <w:rsid w:val="03046FAC"/>
    <w:rsid w:val="030E32B0"/>
    <w:rsid w:val="03190295"/>
    <w:rsid w:val="03253F62"/>
    <w:rsid w:val="036F637F"/>
    <w:rsid w:val="038A1F16"/>
    <w:rsid w:val="038D4CD3"/>
    <w:rsid w:val="03C408D4"/>
    <w:rsid w:val="03ED2655"/>
    <w:rsid w:val="0404039C"/>
    <w:rsid w:val="041A101A"/>
    <w:rsid w:val="042468D3"/>
    <w:rsid w:val="044B7594"/>
    <w:rsid w:val="04616861"/>
    <w:rsid w:val="04861CA0"/>
    <w:rsid w:val="04A12BB9"/>
    <w:rsid w:val="04A37BF0"/>
    <w:rsid w:val="04BD4BCE"/>
    <w:rsid w:val="04F25DBA"/>
    <w:rsid w:val="04F46CEE"/>
    <w:rsid w:val="04FA7115"/>
    <w:rsid w:val="04FD5053"/>
    <w:rsid w:val="054134AD"/>
    <w:rsid w:val="05551670"/>
    <w:rsid w:val="056C27CB"/>
    <w:rsid w:val="0571089C"/>
    <w:rsid w:val="058844D8"/>
    <w:rsid w:val="05AD7C3D"/>
    <w:rsid w:val="05B81468"/>
    <w:rsid w:val="05B92B80"/>
    <w:rsid w:val="05CC288F"/>
    <w:rsid w:val="05D4720E"/>
    <w:rsid w:val="05FB3716"/>
    <w:rsid w:val="06042B32"/>
    <w:rsid w:val="061355E6"/>
    <w:rsid w:val="0660508D"/>
    <w:rsid w:val="069766D8"/>
    <w:rsid w:val="06AC66F5"/>
    <w:rsid w:val="06B111C0"/>
    <w:rsid w:val="06CD0067"/>
    <w:rsid w:val="06EA3869"/>
    <w:rsid w:val="06EB297F"/>
    <w:rsid w:val="06F44776"/>
    <w:rsid w:val="06FC6923"/>
    <w:rsid w:val="071830B3"/>
    <w:rsid w:val="07232B13"/>
    <w:rsid w:val="072E12A5"/>
    <w:rsid w:val="072E4FA9"/>
    <w:rsid w:val="07406D6C"/>
    <w:rsid w:val="07554650"/>
    <w:rsid w:val="075F5104"/>
    <w:rsid w:val="079F7BD5"/>
    <w:rsid w:val="07AF7E3A"/>
    <w:rsid w:val="07C1421B"/>
    <w:rsid w:val="07CC0B7F"/>
    <w:rsid w:val="07F07408"/>
    <w:rsid w:val="0808329B"/>
    <w:rsid w:val="080B0E60"/>
    <w:rsid w:val="08241B14"/>
    <w:rsid w:val="08250D84"/>
    <w:rsid w:val="08346E32"/>
    <w:rsid w:val="084F3982"/>
    <w:rsid w:val="0870581B"/>
    <w:rsid w:val="08A06BD3"/>
    <w:rsid w:val="08BD2F14"/>
    <w:rsid w:val="08D80E0C"/>
    <w:rsid w:val="09085B92"/>
    <w:rsid w:val="093223D0"/>
    <w:rsid w:val="09373DCB"/>
    <w:rsid w:val="09414F75"/>
    <w:rsid w:val="094470AB"/>
    <w:rsid w:val="095A6DFD"/>
    <w:rsid w:val="09926330"/>
    <w:rsid w:val="09AD7F7C"/>
    <w:rsid w:val="09B81624"/>
    <w:rsid w:val="09B92009"/>
    <w:rsid w:val="09C411E9"/>
    <w:rsid w:val="09CC5D7B"/>
    <w:rsid w:val="09D63199"/>
    <w:rsid w:val="09F124DC"/>
    <w:rsid w:val="09F8719E"/>
    <w:rsid w:val="0A0C359D"/>
    <w:rsid w:val="0A103B20"/>
    <w:rsid w:val="0A1469F1"/>
    <w:rsid w:val="0A173D8A"/>
    <w:rsid w:val="0A4707FD"/>
    <w:rsid w:val="0A717628"/>
    <w:rsid w:val="0A8615A5"/>
    <w:rsid w:val="0A924098"/>
    <w:rsid w:val="0AA35EAE"/>
    <w:rsid w:val="0AAC7074"/>
    <w:rsid w:val="0AB622D1"/>
    <w:rsid w:val="0ABA01A9"/>
    <w:rsid w:val="0ADE2342"/>
    <w:rsid w:val="0AE21792"/>
    <w:rsid w:val="0AF33383"/>
    <w:rsid w:val="0B054A96"/>
    <w:rsid w:val="0B0E2B4A"/>
    <w:rsid w:val="0B11078A"/>
    <w:rsid w:val="0B7E67EB"/>
    <w:rsid w:val="0B835EE6"/>
    <w:rsid w:val="0B901D30"/>
    <w:rsid w:val="0B96175E"/>
    <w:rsid w:val="0B9D04F7"/>
    <w:rsid w:val="0BB81E48"/>
    <w:rsid w:val="0BC638DE"/>
    <w:rsid w:val="0BCD4593"/>
    <w:rsid w:val="0BD328BD"/>
    <w:rsid w:val="0BF550E1"/>
    <w:rsid w:val="0C145134"/>
    <w:rsid w:val="0C170E2E"/>
    <w:rsid w:val="0C202296"/>
    <w:rsid w:val="0C415301"/>
    <w:rsid w:val="0C4853AF"/>
    <w:rsid w:val="0C5466CF"/>
    <w:rsid w:val="0C546E98"/>
    <w:rsid w:val="0C6C1EE0"/>
    <w:rsid w:val="0C7F3E15"/>
    <w:rsid w:val="0C7F7B27"/>
    <w:rsid w:val="0CC05689"/>
    <w:rsid w:val="0CD33899"/>
    <w:rsid w:val="0CD5224C"/>
    <w:rsid w:val="0CE47224"/>
    <w:rsid w:val="0CED527E"/>
    <w:rsid w:val="0D09234F"/>
    <w:rsid w:val="0D362C45"/>
    <w:rsid w:val="0D570A89"/>
    <w:rsid w:val="0D574214"/>
    <w:rsid w:val="0D711EBE"/>
    <w:rsid w:val="0D771EA7"/>
    <w:rsid w:val="0DA728AC"/>
    <w:rsid w:val="0DAD175B"/>
    <w:rsid w:val="0DB25F8E"/>
    <w:rsid w:val="0DCA2F46"/>
    <w:rsid w:val="0DE11C21"/>
    <w:rsid w:val="0DE14E46"/>
    <w:rsid w:val="0E0422AA"/>
    <w:rsid w:val="0E3D4FDF"/>
    <w:rsid w:val="0E4A09D7"/>
    <w:rsid w:val="0E56201A"/>
    <w:rsid w:val="0E6C0832"/>
    <w:rsid w:val="0E6E3C34"/>
    <w:rsid w:val="0EAF327B"/>
    <w:rsid w:val="0EC43EB5"/>
    <w:rsid w:val="0EE20A7B"/>
    <w:rsid w:val="0F1D748A"/>
    <w:rsid w:val="0F4E079B"/>
    <w:rsid w:val="0F732504"/>
    <w:rsid w:val="0F782620"/>
    <w:rsid w:val="0F8A7784"/>
    <w:rsid w:val="0F8C51E0"/>
    <w:rsid w:val="0FC803F4"/>
    <w:rsid w:val="0FCA4E7F"/>
    <w:rsid w:val="10090A65"/>
    <w:rsid w:val="108B22CD"/>
    <w:rsid w:val="109C30D1"/>
    <w:rsid w:val="10AC6F3F"/>
    <w:rsid w:val="10C31C47"/>
    <w:rsid w:val="10C64AE7"/>
    <w:rsid w:val="10F04644"/>
    <w:rsid w:val="11011801"/>
    <w:rsid w:val="110171B2"/>
    <w:rsid w:val="111422F1"/>
    <w:rsid w:val="11171B9A"/>
    <w:rsid w:val="111F30A5"/>
    <w:rsid w:val="113E2BC1"/>
    <w:rsid w:val="116F7873"/>
    <w:rsid w:val="117330A5"/>
    <w:rsid w:val="11900A86"/>
    <w:rsid w:val="119B1CE5"/>
    <w:rsid w:val="11AD6655"/>
    <w:rsid w:val="11B96DAB"/>
    <w:rsid w:val="11D361EC"/>
    <w:rsid w:val="11D44799"/>
    <w:rsid w:val="11D65F4E"/>
    <w:rsid w:val="11E4251C"/>
    <w:rsid w:val="12295811"/>
    <w:rsid w:val="1236016D"/>
    <w:rsid w:val="123900DB"/>
    <w:rsid w:val="123B6254"/>
    <w:rsid w:val="12470CD9"/>
    <w:rsid w:val="125B745E"/>
    <w:rsid w:val="12934DEA"/>
    <w:rsid w:val="12A73823"/>
    <w:rsid w:val="12B04029"/>
    <w:rsid w:val="12BD5E5F"/>
    <w:rsid w:val="12D517AD"/>
    <w:rsid w:val="12DA4242"/>
    <w:rsid w:val="12F23EBA"/>
    <w:rsid w:val="13093115"/>
    <w:rsid w:val="130A48C3"/>
    <w:rsid w:val="132303DD"/>
    <w:rsid w:val="1331496D"/>
    <w:rsid w:val="13392934"/>
    <w:rsid w:val="13583AE1"/>
    <w:rsid w:val="1358580E"/>
    <w:rsid w:val="135A6265"/>
    <w:rsid w:val="136A73BB"/>
    <w:rsid w:val="139327D8"/>
    <w:rsid w:val="13A46671"/>
    <w:rsid w:val="13CF2FE3"/>
    <w:rsid w:val="13D36FA4"/>
    <w:rsid w:val="14256000"/>
    <w:rsid w:val="1466786F"/>
    <w:rsid w:val="149733D6"/>
    <w:rsid w:val="14A668A4"/>
    <w:rsid w:val="14A9029F"/>
    <w:rsid w:val="14B83431"/>
    <w:rsid w:val="14D815EB"/>
    <w:rsid w:val="14E836E8"/>
    <w:rsid w:val="14F142C3"/>
    <w:rsid w:val="150B2175"/>
    <w:rsid w:val="150B6FBF"/>
    <w:rsid w:val="1527711D"/>
    <w:rsid w:val="152B1104"/>
    <w:rsid w:val="154A66B0"/>
    <w:rsid w:val="159C7EDD"/>
    <w:rsid w:val="15BE553B"/>
    <w:rsid w:val="15E03E14"/>
    <w:rsid w:val="15E4550B"/>
    <w:rsid w:val="15E9482E"/>
    <w:rsid w:val="160F3727"/>
    <w:rsid w:val="161147C5"/>
    <w:rsid w:val="16327956"/>
    <w:rsid w:val="166A7A3B"/>
    <w:rsid w:val="16725680"/>
    <w:rsid w:val="168B0BBD"/>
    <w:rsid w:val="168B7CC4"/>
    <w:rsid w:val="16996A0B"/>
    <w:rsid w:val="16A3322F"/>
    <w:rsid w:val="16B56AEF"/>
    <w:rsid w:val="16C120B7"/>
    <w:rsid w:val="16C47023"/>
    <w:rsid w:val="16CD3708"/>
    <w:rsid w:val="16D51B5B"/>
    <w:rsid w:val="16D7712F"/>
    <w:rsid w:val="16ED23AA"/>
    <w:rsid w:val="16F04ED6"/>
    <w:rsid w:val="172F4118"/>
    <w:rsid w:val="17607D54"/>
    <w:rsid w:val="17616244"/>
    <w:rsid w:val="17694A75"/>
    <w:rsid w:val="17916AE6"/>
    <w:rsid w:val="179D12F3"/>
    <w:rsid w:val="17A858E4"/>
    <w:rsid w:val="17AE49E6"/>
    <w:rsid w:val="17CD5A7B"/>
    <w:rsid w:val="17E31439"/>
    <w:rsid w:val="18035F6A"/>
    <w:rsid w:val="18254C83"/>
    <w:rsid w:val="185C58E1"/>
    <w:rsid w:val="186366A3"/>
    <w:rsid w:val="187A66B9"/>
    <w:rsid w:val="1881324F"/>
    <w:rsid w:val="18A246AF"/>
    <w:rsid w:val="18CD4E3E"/>
    <w:rsid w:val="18F32680"/>
    <w:rsid w:val="18F72FDD"/>
    <w:rsid w:val="18F80417"/>
    <w:rsid w:val="18FE1274"/>
    <w:rsid w:val="192E5438"/>
    <w:rsid w:val="192F165F"/>
    <w:rsid w:val="19547778"/>
    <w:rsid w:val="195E3B99"/>
    <w:rsid w:val="196E4FB3"/>
    <w:rsid w:val="197E58BE"/>
    <w:rsid w:val="19C51AEA"/>
    <w:rsid w:val="19CE1BFF"/>
    <w:rsid w:val="19FE65D7"/>
    <w:rsid w:val="1A1C0B7B"/>
    <w:rsid w:val="1A40430B"/>
    <w:rsid w:val="1A443933"/>
    <w:rsid w:val="1A4C566A"/>
    <w:rsid w:val="1A9A126F"/>
    <w:rsid w:val="1AA4601E"/>
    <w:rsid w:val="1AA65DB0"/>
    <w:rsid w:val="1AAE1FF5"/>
    <w:rsid w:val="1ABB3621"/>
    <w:rsid w:val="1ABF7C53"/>
    <w:rsid w:val="1ADE6206"/>
    <w:rsid w:val="1AE56DC9"/>
    <w:rsid w:val="1AE7452F"/>
    <w:rsid w:val="1AEB507C"/>
    <w:rsid w:val="1B073464"/>
    <w:rsid w:val="1B2A626C"/>
    <w:rsid w:val="1B3156EE"/>
    <w:rsid w:val="1B5E2B2B"/>
    <w:rsid w:val="1B695698"/>
    <w:rsid w:val="1BB22919"/>
    <w:rsid w:val="1BB93D57"/>
    <w:rsid w:val="1BF91505"/>
    <w:rsid w:val="1BFD7E3D"/>
    <w:rsid w:val="1C02494D"/>
    <w:rsid w:val="1C05422B"/>
    <w:rsid w:val="1C064DE2"/>
    <w:rsid w:val="1C263D41"/>
    <w:rsid w:val="1C631691"/>
    <w:rsid w:val="1C6673DB"/>
    <w:rsid w:val="1C6A1BB2"/>
    <w:rsid w:val="1C726F5B"/>
    <w:rsid w:val="1C937E16"/>
    <w:rsid w:val="1CC529AF"/>
    <w:rsid w:val="1CC914E2"/>
    <w:rsid w:val="1CDA5DED"/>
    <w:rsid w:val="1D031FA5"/>
    <w:rsid w:val="1D0A4B3C"/>
    <w:rsid w:val="1D595CEF"/>
    <w:rsid w:val="1D700D25"/>
    <w:rsid w:val="1D9948E6"/>
    <w:rsid w:val="1DA1677A"/>
    <w:rsid w:val="1DA90A2F"/>
    <w:rsid w:val="1DE55E1B"/>
    <w:rsid w:val="1DEA2636"/>
    <w:rsid w:val="1E015BFF"/>
    <w:rsid w:val="1E261FEC"/>
    <w:rsid w:val="1E3D5D61"/>
    <w:rsid w:val="1E3E032D"/>
    <w:rsid w:val="1E4C7D38"/>
    <w:rsid w:val="1E5D014C"/>
    <w:rsid w:val="1E625159"/>
    <w:rsid w:val="1E683F1C"/>
    <w:rsid w:val="1E6C052F"/>
    <w:rsid w:val="1E8017FF"/>
    <w:rsid w:val="1EB31B66"/>
    <w:rsid w:val="1EB529F8"/>
    <w:rsid w:val="1EEC75A7"/>
    <w:rsid w:val="1EF17AB3"/>
    <w:rsid w:val="1EF92460"/>
    <w:rsid w:val="1F1F4D17"/>
    <w:rsid w:val="1F4B516F"/>
    <w:rsid w:val="1F5E6350"/>
    <w:rsid w:val="1F6E5BB9"/>
    <w:rsid w:val="1F7E629B"/>
    <w:rsid w:val="1F8A3BD5"/>
    <w:rsid w:val="1FE63CE8"/>
    <w:rsid w:val="20254C14"/>
    <w:rsid w:val="20524CE4"/>
    <w:rsid w:val="2059794C"/>
    <w:rsid w:val="205E7BE3"/>
    <w:rsid w:val="20710706"/>
    <w:rsid w:val="208A18F1"/>
    <w:rsid w:val="208D63E6"/>
    <w:rsid w:val="20A041E4"/>
    <w:rsid w:val="20A506BA"/>
    <w:rsid w:val="20F63843"/>
    <w:rsid w:val="20FE18B0"/>
    <w:rsid w:val="210934F9"/>
    <w:rsid w:val="21376EA4"/>
    <w:rsid w:val="214A784D"/>
    <w:rsid w:val="21513A3C"/>
    <w:rsid w:val="215A766D"/>
    <w:rsid w:val="21667FDB"/>
    <w:rsid w:val="219C1508"/>
    <w:rsid w:val="21BF756C"/>
    <w:rsid w:val="21E005A4"/>
    <w:rsid w:val="21E5281B"/>
    <w:rsid w:val="21FA5606"/>
    <w:rsid w:val="22046DF1"/>
    <w:rsid w:val="220A4513"/>
    <w:rsid w:val="220F583E"/>
    <w:rsid w:val="222133BE"/>
    <w:rsid w:val="225124B4"/>
    <w:rsid w:val="226B158F"/>
    <w:rsid w:val="229575D0"/>
    <w:rsid w:val="22965A26"/>
    <w:rsid w:val="22AC5116"/>
    <w:rsid w:val="22B32E1B"/>
    <w:rsid w:val="22CD6AE0"/>
    <w:rsid w:val="22D42FDF"/>
    <w:rsid w:val="22E30EC1"/>
    <w:rsid w:val="23365998"/>
    <w:rsid w:val="236906A5"/>
    <w:rsid w:val="2375481A"/>
    <w:rsid w:val="23797368"/>
    <w:rsid w:val="23822B30"/>
    <w:rsid w:val="23987B12"/>
    <w:rsid w:val="23B828A0"/>
    <w:rsid w:val="23EE120B"/>
    <w:rsid w:val="2403705B"/>
    <w:rsid w:val="24110B80"/>
    <w:rsid w:val="242332EA"/>
    <w:rsid w:val="24572D18"/>
    <w:rsid w:val="245A7C91"/>
    <w:rsid w:val="249D5D77"/>
    <w:rsid w:val="24B2031D"/>
    <w:rsid w:val="24B445FB"/>
    <w:rsid w:val="24BD6504"/>
    <w:rsid w:val="24C74F14"/>
    <w:rsid w:val="24D708E2"/>
    <w:rsid w:val="24E35931"/>
    <w:rsid w:val="24FB6730"/>
    <w:rsid w:val="25046314"/>
    <w:rsid w:val="251B6F7E"/>
    <w:rsid w:val="252515BC"/>
    <w:rsid w:val="25787665"/>
    <w:rsid w:val="25815EBA"/>
    <w:rsid w:val="258B4FC9"/>
    <w:rsid w:val="25D42A29"/>
    <w:rsid w:val="25E22D30"/>
    <w:rsid w:val="25F5013E"/>
    <w:rsid w:val="2618546A"/>
    <w:rsid w:val="262A1C6D"/>
    <w:rsid w:val="262F627F"/>
    <w:rsid w:val="26315BFD"/>
    <w:rsid w:val="264A4407"/>
    <w:rsid w:val="26537397"/>
    <w:rsid w:val="26590269"/>
    <w:rsid w:val="2660154C"/>
    <w:rsid w:val="26741477"/>
    <w:rsid w:val="26A276B5"/>
    <w:rsid w:val="26B6068C"/>
    <w:rsid w:val="26BA68C7"/>
    <w:rsid w:val="26BB1824"/>
    <w:rsid w:val="26BF5E40"/>
    <w:rsid w:val="26C12C45"/>
    <w:rsid w:val="26F0158E"/>
    <w:rsid w:val="26F237CD"/>
    <w:rsid w:val="2719754A"/>
    <w:rsid w:val="2725126B"/>
    <w:rsid w:val="27375D6E"/>
    <w:rsid w:val="274C2D2B"/>
    <w:rsid w:val="27704000"/>
    <w:rsid w:val="2796594E"/>
    <w:rsid w:val="27B135A1"/>
    <w:rsid w:val="27BC024E"/>
    <w:rsid w:val="27BE3E87"/>
    <w:rsid w:val="27C17045"/>
    <w:rsid w:val="27C35275"/>
    <w:rsid w:val="283167B4"/>
    <w:rsid w:val="283F43FA"/>
    <w:rsid w:val="28615FB4"/>
    <w:rsid w:val="28682A73"/>
    <w:rsid w:val="289D577F"/>
    <w:rsid w:val="28E404D9"/>
    <w:rsid w:val="28F4407D"/>
    <w:rsid w:val="28F843AB"/>
    <w:rsid w:val="291138C7"/>
    <w:rsid w:val="29120E51"/>
    <w:rsid w:val="292F6255"/>
    <w:rsid w:val="295A0994"/>
    <w:rsid w:val="295A50C3"/>
    <w:rsid w:val="29733D9F"/>
    <w:rsid w:val="29A61468"/>
    <w:rsid w:val="29BE37C1"/>
    <w:rsid w:val="29D972D3"/>
    <w:rsid w:val="29DF7FFE"/>
    <w:rsid w:val="2A0B3F8F"/>
    <w:rsid w:val="2A5039D7"/>
    <w:rsid w:val="2A665688"/>
    <w:rsid w:val="2A7D74CC"/>
    <w:rsid w:val="2A7F4563"/>
    <w:rsid w:val="2AB12D4D"/>
    <w:rsid w:val="2B3F4C1F"/>
    <w:rsid w:val="2B464915"/>
    <w:rsid w:val="2B4D1216"/>
    <w:rsid w:val="2B543C6C"/>
    <w:rsid w:val="2B58393A"/>
    <w:rsid w:val="2B8030A5"/>
    <w:rsid w:val="2BB4500B"/>
    <w:rsid w:val="2BB761AE"/>
    <w:rsid w:val="2BC37D39"/>
    <w:rsid w:val="2BE06712"/>
    <w:rsid w:val="2C093C47"/>
    <w:rsid w:val="2C095760"/>
    <w:rsid w:val="2C0D429C"/>
    <w:rsid w:val="2C6E581C"/>
    <w:rsid w:val="2C7A7AA0"/>
    <w:rsid w:val="2CA30589"/>
    <w:rsid w:val="2CC9787F"/>
    <w:rsid w:val="2CF77552"/>
    <w:rsid w:val="2D146D2C"/>
    <w:rsid w:val="2D155FB3"/>
    <w:rsid w:val="2D1D6FDF"/>
    <w:rsid w:val="2D3B7B03"/>
    <w:rsid w:val="2D440581"/>
    <w:rsid w:val="2D470656"/>
    <w:rsid w:val="2D493ADC"/>
    <w:rsid w:val="2D55451C"/>
    <w:rsid w:val="2D5B158F"/>
    <w:rsid w:val="2D836484"/>
    <w:rsid w:val="2D9B2285"/>
    <w:rsid w:val="2DB35787"/>
    <w:rsid w:val="2DD51C18"/>
    <w:rsid w:val="2DF144D1"/>
    <w:rsid w:val="2DFB6036"/>
    <w:rsid w:val="2E150451"/>
    <w:rsid w:val="2E3472AB"/>
    <w:rsid w:val="2E3D031C"/>
    <w:rsid w:val="2E690493"/>
    <w:rsid w:val="2EA86437"/>
    <w:rsid w:val="2EB103B1"/>
    <w:rsid w:val="2F0F71E6"/>
    <w:rsid w:val="2F2A3F66"/>
    <w:rsid w:val="2F383A5C"/>
    <w:rsid w:val="2F4559EE"/>
    <w:rsid w:val="2F59457E"/>
    <w:rsid w:val="2F6125CE"/>
    <w:rsid w:val="2F742945"/>
    <w:rsid w:val="2F866EEE"/>
    <w:rsid w:val="2F8B3226"/>
    <w:rsid w:val="2F9D4B14"/>
    <w:rsid w:val="2FB32EEE"/>
    <w:rsid w:val="2FBE43F5"/>
    <w:rsid w:val="2FC53C32"/>
    <w:rsid w:val="2FC55B9D"/>
    <w:rsid w:val="2FD157C7"/>
    <w:rsid w:val="2FFB4EB4"/>
    <w:rsid w:val="3008444D"/>
    <w:rsid w:val="300A115E"/>
    <w:rsid w:val="301241C3"/>
    <w:rsid w:val="30296BB8"/>
    <w:rsid w:val="30546F05"/>
    <w:rsid w:val="30890423"/>
    <w:rsid w:val="309D4655"/>
    <w:rsid w:val="30A27A0B"/>
    <w:rsid w:val="30A35497"/>
    <w:rsid w:val="30C026F3"/>
    <w:rsid w:val="312E7864"/>
    <w:rsid w:val="315423FA"/>
    <w:rsid w:val="315B7AEC"/>
    <w:rsid w:val="31710789"/>
    <w:rsid w:val="317503B0"/>
    <w:rsid w:val="31A977AF"/>
    <w:rsid w:val="31AC0A51"/>
    <w:rsid w:val="31D53C4D"/>
    <w:rsid w:val="31E14B6E"/>
    <w:rsid w:val="31EF162F"/>
    <w:rsid w:val="31F71A11"/>
    <w:rsid w:val="31FE12AB"/>
    <w:rsid w:val="31FF4890"/>
    <w:rsid w:val="32032DB7"/>
    <w:rsid w:val="320D3024"/>
    <w:rsid w:val="320E382B"/>
    <w:rsid w:val="321A185A"/>
    <w:rsid w:val="321B4537"/>
    <w:rsid w:val="32513A45"/>
    <w:rsid w:val="32B50B2C"/>
    <w:rsid w:val="32C84DFE"/>
    <w:rsid w:val="32D92530"/>
    <w:rsid w:val="32E76E9D"/>
    <w:rsid w:val="32FA3DAF"/>
    <w:rsid w:val="332D5F33"/>
    <w:rsid w:val="3337740D"/>
    <w:rsid w:val="334B7A74"/>
    <w:rsid w:val="3358616F"/>
    <w:rsid w:val="337F1035"/>
    <w:rsid w:val="33805DA1"/>
    <w:rsid w:val="338C56E4"/>
    <w:rsid w:val="33934B2E"/>
    <w:rsid w:val="339441CF"/>
    <w:rsid w:val="33C37075"/>
    <w:rsid w:val="33D04100"/>
    <w:rsid w:val="33F2678E"/>
    <w:rsid w:val="34062C68"/>
    <w:rsid w:val="341C738A"/>
    <w:rsid w:val="341E063D"/>
    <w:rsid w:val="343A03D8"/>
    <w:rsid w:val="3450315F"/>
    <w:rsid w:val="348F0A80"/>
    <w:rsid w:val="34A26022"/>
    <w:rsid w:val="34B0567F"/>
    <w:rsid w:val="34B443F6"/>
    <w:rsid w:val="34E12F4E"/>
    <w:rsid w:val="34EB31AA"/>
    <w:rsid w:val="34EC41DF"/>
    <w:rsid w:val="35040A33"/>
    <w:rsid w:val="351A24AD"/>
    <w:rsid w:val="35273121"/>
    <w:rsid w:val="354E123E"/>
    <w:rsid w:val="354F2AD2"/>
    <w:rsid w:val="356D6A12"/>
    <w:rsid w:val="35B50461"/>
    <w:rsid w:val="35C36B07"/>
    <w:rsid w:val="35C60438"/>
    <w:rsid w:val="360D6591"/>
    <w:rsid w:val="361F2C5E"/>
    <w:rsid w:val="363976F7"/>
    <w:rsid w:val="365437D6"/>
    <w:rsid w:val="36681B72"/>
    <w:rsid w:val="366E68DA"/>
    <w:rsid w:val="36702533"/>
    <w:rsid w:val="369938DF"/>
    <w:rsid w:val="36BD137C"/>
    <w:rsid w:val="36DE2E34"/>
    <w:rsid w:val="36E02E58"/>
    <w:rsid w:val="36E614FC"/>
    <w:rsid w:val="36F84B57"/>
    <w:rsid w:val="37133692"/>
    <w:rsid w:val="373F7C5E"/>
    <w:rsid w:val="3746309F"/>
    <w:rsid w:val="3751494E"/>
    <w:rsid w:val="375A24EA"/>
    <w:rsid w:val="37757EA8"/>
    <w:rsid w:val="3784494C"/>
    <w:rsid w:val="378A1E8D"/>
    <w:rsid w:val="37BC00E4"/>
    <w:rsid w:val="37C859C7"/>
    <w:rsid w:val="37D62F7A"/>
    <w:rsid w:val="37E30435"/>
    <w:rsid w:val="37E40AE8"/>
    <w:rsid w:val="37F03A7C"/>
    <w:rsid w:val="37F3629E"/>
    <w:rsid w:val="3801173C"/>
    <w:rsid w:val="38060F79"/>
    <w:rsid w:val="38377799"/>
    <w:rsid w:val="3839587C"/>
    <w:rsid w:val="384E5182"/>
    <w:rsid w:val="384E5649"/>
    <w:rsid w:val="38746ABC"/>
    <w:rsid w:val="38761BD7"/>
    <w:rsid w:val="38AE69D5"/>
    <w:rsid w:val="38B36EDA"/>
    <w:rsid w:val="38FC0060"/>
    <w:rsid w:val="38FC32F5"/>
    <w:rsid w:val="38FD17EE"/>
    <w:rsid w:val="39030A9D"/>
    <w:rsid w:val="39113643"/>
    <w:rsid w:val="39180AEB"/>
    <w:rsid w:val="393926AC"/>
    <w:rsid w:val="396866FD"/>
    <w:rsid w:val="397E03C2"/>
    <w:rsid w:val="3999642E"/>
    <w:rsid w:val="39BB3AC3"/>
    <w:rsid w:val="39DF043A"/>
    <w:rsid w:val="39E82C48"/>
    <w:rsid w:val="39FE32B3"/>
    <w:rsid w:val="39FF59A7"/>
    <w:rsid w:val="3A070DC0"/>
    <w:rsid w:val="3A2065C7"/>
    <w:rsid w:val="3A213653"/>
    <w:rsid w:val="3A2967DF"/>
    <w:rsid w:val="3A34378D"/>
    <w:rsid w:val="3A36160B"/>
    <w:rsid w:val="3A5F16F2"/>
    <w:rsid w:val="3A6F51D2"/>
    <w:rsid w:val="3A760697"/>
    <w:rsid w:val="3A903A88"/>
    <w:rsid w:val="3AA50AA5"/>
    <w:rsid w:val="3AB341F2"/>
    <w:rsid w:val="3AC820F6"/>
    <w:rsid w:val="3AEB3C21"/>
    <w:rsid w:val="3AFB6043"/>
    <w:rsid w:val="3B041E40"/>
    <w:rsid w:val="3B191C47"/>
    <w:rsid w:val="3B205806"/>
    <w:rsid w:val="3B295FAA"/>
    <w:rsid w:val="3B48137D"/>
    <w:rsid w:val="3B5237EF"/>
    <w:rsid w:val="3B5C6A72"/>
    <w:rsid w:val="3B7F2CAA"/>
    <w:rsid w:val="3C037A01"/>
    <w:rsid w:val="3C1A13DF"/>
    <w:rsid w:val="3C3A4FEB"/>
    <w:rsid w:val="3C4F0EBB"/>
    <w:rsid w:val="3C635FA0"/>
    <w:rsid w:val="3C726AD5"/>
    <w:rsid w:val="3C8659AE"/>
    <w:rsid w:val="3CA66A58"/>
    <w:rsid w:val="3CBE3C7C"/>
    <w:rsid w:val="3CD165D4"/>
    <w:rsid w:val="3CDB637E"/>
    <w:rsid w:val="3CF06959"/>
    <w:rsid w:val="3CF316DB"/>
    <w:rsid w:val="3D1617AD"/>
    <w:rsid w:val="3D39355A"/>
    <w:rsid w:val="3D3C44DD"/>
    <w:rsid w:val="3D5001A7"/>
    <w:rsid w:val="3D58381F"/>
    <w:rsid w:val="3D5B3EF0"/>
    <w:rsid w:val="3D5C58DF"/>
    <w:rsid w:val="3D7079EC"/>
    <w:rsid w:val="3D9214B7"/>
    <w:rsid w:val="3DB23DD9"/>
    <w:rsid w:val="3DB63349"/>
    <w:rsid w:val="3DC1040F"/>
    <w:rsid w:val="3DEE576C"/>
    <w:rsid w:val="3DF57F08"/>
    <w:rsid w:val="3E073543"/>
    <w:rsid w:val="3E143052"/>
    <w:rsid w:val="3E262B6F"/>
    <w:rsid w:val="3E390C78"/>
    <w:rsid w:val="3E500D27"/>
    <w:rsid w:val="3E573ADE"/>
    <w:rsid w:val="3EA55E90"/>
    <w:rsid w:val="3ECD0998"/>
    <w:rsid w:val="3ED508CA"/>
    <w:rsid w:val="3F1109BC"/>
    <w:rsid w:val="3F1B7587"/>
    <w:rsid w:val="3F334B22"/>
    <w:rsid w:val="3F805B16"/>
    <w:rsid w:val="3F892743"/>
    <w:rsid w:val="3FA011AF"/>
    <w:rsid w:val="3FA42170"/>
    <w:rsid w:val="3FAF36DB"/>
    <w:rsid w:val="3FCB6BE9"/>
    <w:rsid w:val="402B1A4C"/>
    <w:rsid w:val="402F1229"/>
    <w:rsid w:val="405759DA"/>
    <w:rsid w:val="405814E6"/>
    <w:rsid w:val="40607D10"/>
    <w:rsid w:val="406A14B3"/>
    <w:rsid w:val="407C15D8"/>
    <w:rsid w:val="408B597B"/>
    <w:rsid w:val="409D1B0D"/>
    <w:rsid w:val="40F97CA8"/>
    <w:rsid w:val="41171B69"/>
    <w:rsid w:val="412B59AE"/>
    <w:rsid w:val="41310F0B"/>
    <w:rsid w:val="41415E9E"/>
    <w:rsid w:val="41883A8E"/>
    <w:rsid w:val="418A60B4"/>
    <w:rsid w:val="41962EF5"/>
    <w:rsid w:val="41B370D6"/>
    <w:rsid w:val="42212582"/>
    <w:rsid w:val="424D060C"/>
    <w:rsid w:val="42625CA5"/>
    <w:rsid w:val="42755843"/>
    <w:rsid w:val="42794CE2"/>
    <w:rsid w:val="428704C4"/>
    <w:rsid w:val="42C70708"/>
    <w:rsid w:val="42CD6DEA"/>
    <w:rsid w:val="42E0254C"/>
    <w:rsid w:val="42F40D67"/>
    <w:rsid w:val="43066FF8"/>
    <w:rsid w:val="43146FF6"/>
    <w:rsid w:val="433204F8"/>
    <w:rsid w:val="43376C3C"/>
    <w:rsid w:val="433C3AAA"/>
    <w:rsid w:val="4345322A"/>
    <w:rsid w:val="434D3A87"/>
    <w:rsid w:val="43600192"/>
    <w:rsid w:val="43617533"/>
    <w:rsid w:val="437377FC"/>
    <w:rsid w:val="43964A1C"/>
    <w:rsid w:val="43E22B61"/>
    <w:rsid w:val="44010D72"/>
    <w:rsid w:val="44031DB9"/>
    <w:rsid w:val="44073C4A"/>
    <w:rsid w:val="442F628E"/>
    <w:rsid w:val="447943E7"/>
    <w:rsid w:val="44B41FCD"/>
    <w:rsid w:val="44F46625"/>
    <w:rsid w:val="44F52628"/>
    <w:rsid w:val="454C191C"/>
    <w:rsid w:val="454C5876"/>
    <w:rsid w:val="4556652D"/>
    <w:rsid w:val="45861251"/>
    <w:rsid w:val="459911EE"/>
    <w:rsid w:val="4599227F"/>
    <w:rsid w:val="45BE024B"/>
    <w:rsid w:val="45BE2AD4"/>
    <w:rsid w:val="45C2437E"/>
    <w:rsid w:val="45EA2721"/>
    <w:rsid w:val="460A0745"/>
    <w:rsid w:val="46300B95"/>
    <w:rsid w:val="463A3C1C"/>
    <w:rsid w:val="46496788"/>
    <w:rsid w:val="466E6ADA"/>
    <w:rsid w:val="46776100"/>
    <w:rsid w:val="469420BE"/>
    <w:rsid w:val="4699240B"/>
    <w:rsid w:val="46B7014A"/>
    <w:rsid w:val="46C942A7"/>
    <w:rsid w:val="46DD4977"/>
    <w:rsid w:val="46DE0D2C"/>
    <w:rsid w:val="46EC22D2"/>
    <w:rsid w:val="46ED5CA5"/>
    <w:rsid w:val="46FE4C6E"/>
    <w:rsid w:val="47062AB6"/>
    <w:rsid w:val="471F04AD"/>
    <w:rsid w:val="475A659D"/>
    <w:rsid w:val="475D222C"/>
    <w:rsid w:val="476207DA"/>
    <w:rsid w:val="47727F60"/>
    <w:rsid w:val="47944B93"/>
    <w:rsid w:val="47B14EAE"/>
    <w:rsid w:val="47BB2250"/>
    <w:rsid w:val="47C00B3A"/>
    <w:rsid w:val="47C04462"/>
    <w:rsid w:val="47C96CD1"/>
    <w:rsid w:val="47D439C1"/>
    <w:rsid w:val="47D84F8A"/>
    <w:rsid w:val="47DB6ABB"/>
    <w:rsid w:val="48006D6A"/>
    <w:rsid w:val="48083448"/>
    <w:rsid w:val="48087ABB"/>
    <w:rsid w:val="48460696"/>
    <w:rsid w:val="48690DD9"/>
    <w:rsid w:val="486B54EB"/>
    <w:rsid w:val="4887121F"/>
    <w:rsid w:val="48BB1493"/>
    <w:rsid w:val="48E540D8"/>
    <w:rsid w:val="48F702B1"/>
    <w:rsid w:val="49043E31"/>
    <w:rsid w:val="492910E2"/>
    <w:rsid w:val="492E569F"/>
    <w:rsid w:val="494B446A"/>
    <w:rsid w:val="494E1C27"/>
    <w:rsid w:val="497A40B6"/>
    <w:rsid w:val="49812C74"/>
    <w:rsid w:val="498D0C93"/>
    <w:rsid w:val="49A36AB0"/>
    <w:rsid w:val="49A97E85"/>
    <w:rsid w:val="49BC7F7F"/>
    <w:rsid w:val="49D92DDD"/>
    <w:rsid w:val="49EF5321"/>
    <w:rsid w:val="4A037596"/>
    <w:rsid w:val="4A1A5E29"/>
    <w:rsid w:val="4A347F6C"/>
    <w:rsid w:val="4A444508"/>
    <w:rsid w:val="4A456A14"/>
    <w:rsid w:val="4A5A1FE6"/>
    <w:rsid w:val="4A66451F"/>
    <w:rsid w:val="4A9D0D79"/>
    <w:rsid w:val="4A9D45B8"/>
    <w:rsid w:val="4A9F545E"/>
    <w:rsid w:val="4AA85E8E"/>
    <w:rsid w:val="4AAB056F"/>
    <w:rsid w:val="4AF535C1"/>
    <w:rsid w:val="4AFF32E7"/>
    <w:rsid w:val="4B08573B"/>
    <w:rsid w:val="4B130CAC"/>
    <w:rsid w:val="4B1530DD"/>
    <w:rsid w:val="4B2F2866"/>
    <w:rsid w:val="4B372DDA"/>
    <w:rsid w:val="4B427D58"/>
    <w:rsid w:val="4B5E0F1C"/>
    <w:rsid w:val="4B626F00"/>
    <w:rsid w:val="4BC53B5B"/>
    <w:rsid w:val="4BD84EB3"/>
    <w:rsid w:val="4BDA30DC"/>
    <w:rsid w:val="4BE53FE4"/>
    <w:rsid w:val="4C083AFB"/>
    <w:rsid w:val="4C340FD6"/>
    <w:rsid w:val="4C4D4AF8"/>
    <w:rsid w:val="4C744BB3"/>
    <w:rsid w:val="4C851F32"/>
    <w:rsid w:val="4C964045"/>
    <w:rsid w:val="4CBF0100"/>
    <w:rsid w:val="4CC572D8"/>
    <w:rsid w:val="4CE2366D"/>
    <w:rsid w:val="4CF74EC2"/>
    <w:rsid w:val="4D010671"/>
    <w:rsid w:val="4D316B33"/>
    <w:rsid w:val="4D352FBB"/>
    <w:rsid w:val="4D643156"/>
    <w:rsid w:val="4D743D8A"/>
    <w:rsid w:val="4DA96C4E"/>
    <w:rsid w:val="4DCA2EC8"/>
    <w:rsid w:val="4DF70A62"/>
    <w:rsid w:val="4DFC7089"/>
    <w:rsid w:val="4E0614E3"/>
    <w:rsid w:val="4E2452B7"/>
    <w:rsid w:val="4E4B0299"/>
    <w:rsid w:val="4E695109"/>
    <w:rsid w:val="4E9C3B92"/>
    <w:rsid w:val="4E9D6524"/>
    <w:rsid w:val="4EA92A2A"/>
    <w:rsid w:val="4EAD1AF9"/>
    <w:rsid w:val="4EB40E5E"/>
    <w:rsid w:val="4EE23C1E"/>
    <w:rsid w:val="4F087627"/>
    <w:rsid w:val="4F0A5B3C"/>
    <w:rsid w:val="4F17413F"/>
    <w:rsid w:val="4F1913AC"/>
    <w:rsid w:val="4F471CD3"/>
    <w:rsid w:val="4F4F5A65"/>
    <w:rsid w:val="4F6426A9"/>
    <w:rsid w:val="4F642884"/>
    <w:rsid w:val="4F7A31F5"/>
    <w:rsid w:val="4F7D7EAE"/>
    <w:rsid w:val="4F7E2941"/>
    <w:rsid w:val="4F9F2BDD"/>
    <w:rsid w:val="4FAE1E53"/>
    <w:rsid w:val="4FB607A2"/>
    <w:rsid w:val="4FB77179"/>
    <w:rsid w:val="4FB92CDA"/>
    <w:rsid w:val="4FD37ECC"/>
    <w:rsid w:val="4FE775A6"/>
    <w:rsid w:val="4FF54231"/>
    <w:rsid w:val="50077447"/>
    <w:rsid w:val="500C7AA6"/>
    <w:rsid w:val="502F4C40"/>
    <w:rsid w:val="50343739"/>
    <w:rsid w:val="5048086E"/>
    <w:rsid w:val="50623802"/>
    <w:rsid w:val="50652E94"/>
    <w:rsid w:val="506F14E1"/>
    <w:rsid w:val="508700F4"/>
    <w:rsid w:val="50A970CD"/>
    <w:rsid w:val="50AB2F6C"/>
    <w:rsid w:val="50B4528A"/>
    <w:rsid w:val="50B550E9"/>
    <w:rsid w:val="50C72D83"/>
    <w:rsid w:val="50E152EB"/>
    <w:rsid w:val="512F2A1E"/>
    <w:rsid w:val="5163596F"/>
    <w:rsid w:val="51642065"/>
    <w:rsid w:val="5178014C"/>
    <w:rsid w:val="51895F2D"/>
    <w:rsid w:val="518F48C5"/>
    <w:rsid w:val="51A0460E"/>
    <w:rsid w:val="51A823AB"/>
    <w:rsid w:val="51C656B6"/>
    <w:rsid w:val="51CC648B"/>
    <w:rsid w:val="51E202B2"/>
    <w:rsid w:val="52030FE6"/>
    <w:rsid w:val="52065DA2"/>
    <w:rsid w:val="520A7237"/>
    <w:rsid w:val="52240211"/>
    <w:rsid w:val="522E4D5D"/>
    <w:rsid w:val="524A71B5"/>
    <w:rsid w:val="524B4507"/>
    <w:rsid w:val="52642695"/>
    <w:rsid w:val="5279373F"/>
    <w:rsid w:val="528B1069"/>
    <w:rsid w:val="528D5BD8"/>
    <w:rsid w:val="528F0DD4"/>
    <w:rsid w:val="52930D7F"/>
    <w:rsid w:val="5296438C"/>
    <w:rsid w:val="530F2B4C"/>
    <w:rsid w:val="53144C5A"/>
    <w:rsid w:val="53403A04"/>
    <w:rsid w:val="53666F8B"/>
    <w:rsid w:val="537E6011"/>
    <w:rsid w:val="53846AE9"/>
    <w:rsid w:val="539469A8"/>
    <w:rsid w:val="53A40EB9"/>
    <w:rsid w:val="53AE0CB6"/>
    <w:rsid w:val="53D170F4"/>
    <w:rsid w:val="54271E31"/>
    <w:rsid w:val="543C1277"/>
    <w:rsid w:val="544F1C50"/>
    <w:rsid w:val="545A7783"/>
    <w:rsid w:val="54606A92"/>
    <w:rsid w:val="54611A81"/>
    <w:rsid w:val="54A3027F"/>
    <w:rsid w:val="54CF69F2"/>
    <w:rsid w:val="54DC110F"/>
    <w:rsid w:val="556A1C0B"/>
    <w:rsid w:val="55846FDD"/>
    <w:rsid w:val="558933C3"/>
    <w:rsid w:val="55B177EA"/>
    <w:rsid w:val="55CD48C4"/>
    <w:rsid w:val="55D45D46"/>
    <w:rsid w:val="55F936B0"/>
    <w:rsid w:val="560C425A"/>
    <w:rsid w:val="562365CA"/>
    <w:rsid w:val="56340430"/>
    <w:rsid w:val="56581D59"/>
    <w:rsid w:val="56654E19"/>
    <w:rsid w:val="568502CA"/>
    <w:rsid w:val="56B0773B"/>
    <w:rsid w:val="56B31E0C"/>
    <w:rsid w:val="56B71078"/>
    <w:rsid w:val="56C254B7"/>
    <w:rsid w:val="56DF73CA"/>
    <w:rsid w:val="5709588E"/>
    <w:rsid w:val="570A2A4C"/>
    <w:rsid w:val="570B437B"/>
    <w:rsid w:val="571760EF"/>
    <w:rsid w:val="571F7ADE"/>
    <w:rsid w:val="57792910"/>
    <w:rsid w:val="5781180D"/>
    <w:rsid w:val="57A45DBF"/>
    <w:rsid w:val="57C42203"/>
    <w:rsid w:val="57C54F7B"/>
    <w:rsid w:val="57C77D46"/>
    <w:rsid w:val="57CF4F1B"/>
    <w:rsid w:val="57DD3C30"/>
    <w:rsid w:val="5811368B"/>
    <w:rsid w:val="58201757"/>
    <w:rsid w:val="583321C7"/>
    <w:rsid w:val="58365C18"/>
    <w:rsid w:val="583D758A"/>
    <w:rsid w:val="58514364"/>
    <w:rsid w:val="585818C8"/>
    <w:rsid w:val="58602168"/>
    <w:rsid w:val="5860738B"/>
    <w:rsid w:val="58AB4E89"/>
    <w:rsid w:val="58AD7356"/>
    <w:rsid w:val="58B26DCC"/>
    <w:rsid w:val="58B5550E"/>
    <w:rsid w:val="58BD5C76"/>
    <w:rsid w:val="58C11261"/>
    <w:rsid w:val="58C1375D"/>
    <w:rsid w:val="58C34E9B"/>
    <w:rsid w:val="58D20175"/>
    <w:rsid w:val="59340E0B"/>
    <w:rsid w:val="59825FCB"/>
    <w:rsid w:val="59AD7B0E"/>
    <w:rsid w:val="59B87054"/>
    <w:rsid w:val="59B94A57"/>
    <w:rsid w:val="59D55070"/>
    <w:rsid w:val="59DA18AC"/>
    <w:rsid w:val="59E546A4"/>
    <w:rsid w:val="59FD6E5D"/>
    <w:rsid w:val="5A2A0DB1"/>
    <w:rsid w:val="5A2F5AF5"/>
    <w:rsid w:val="5A4439EB"/>
    <w:rsid w:val="5A621FCA"/>
    <w:rsid w:val="5A637B38"/>
    <w:rsid w:val="5A8D1386"/>
    <w:rsid w:val="5A93303B"/>
    <w:rsid w:val="5ABB6C3C"/>
    <w:rsid w:val="5ACD77B4"/>
    <w:rsid w:val="5AFF7905"/>
    <w:rsid w:val="5B1836AE"/>
    <w:rsid w:val="5B275269"/>
    <w:rsid w:val="5B386851"/>
    <w:rsid w:val="5B492C91"/>
    <w:rsid w:val="5B515ABF"/>
    <w:rsid w:val="5B5A797C"/>
    <w:rsid w:val="5B5B66DC"/>
    <w:rsid w:val="5B6B15AA"/>
    <w:rsid w:val="5B726179"/>
    <w:rsid w:val="5B987BF7"/>
    <w:rsid w:val="5B993CE6"/>
    <w:rsid w:val="5B9C16B8"/>
    <w:rsid w:val="5BAF6495"/>
    <w:rsid w:val="5BBB2383"/>
    <w:rsid w:val="5BC35CC5"/>
    <w:rsid w:val="5BF25754"/>
    <w:rsid w:val="5BF5497E"/>
    <w:rsid w:val="5C0F1DCA"/>
    <w:rsid w:val="5C1E13B0"/>
    <w:rsid w:val="5C4E3C3C"/>
    <w:rsid w:val="5C662A50"/>
    <w:rsid w:val="5C9B540C"/>
    <w:rsid w:val="5CA7684B"/>
    <w:rsid w:val="5CB30248"/>
    <w:rsid w:val="5CB53FF5"/>
    <w:rsid w:val="5CC73DD6"/>
    <w:rsid w:val="5CEA2522"/>
    <w:rsid w:val="5CF2777D"/>
    <w:rsid w:val="5D00162F"/>
    <w:rsid w:val="5D0D01B7"/>
    <w:rsid w:val="5D114D8C"/>
    <w:rsid w:val="5D131446"/>
    <w:rsid w:val="5D2708E3"/>
    <w:rsid w:val="5D2A17E9"/>
    <w:rsid w:val="5D4C3B50"/>
    <w:rsid w:val="5D664D05"/>
    <w:rsid w:val="5D7C584C"/>
    <w:rsid w:val="5D7E46CC"/>
    <w:rsid w:val="5D7F0635"/>
    <w:rsid w:val="5D8929A0"/>
    <w:rsid w:val="5D894E7F"/>
    <w:rsid w:val="5D8D080D"/>
    <w:rsid w:val="5D935CE3"/>
    <w:rsid w:val="5DB539B0"/>
    <w:rsid w:val="5DB72F61"/>
    <w:rsid w:val="5DBF6493"/>
    <w:rsid w:val="5DC05209"/>
    <w:rsid w:val="5DC12605"/>
    <w:rsid w:val="5E252DFA"/>
    <w:rsid w:val="5E273AB6"/>
    <w:rsid w:val="5E3A6AA2"/>
    <w:rsid w:val="5E3E4C2D"/>
    <w:rsid w:val="5E5867E1"/>
    <w:rsid w:val="5E674F7E"/>
    <w:rsid w:val="5E874CE8"/>
    <w:rsid w:val="5EB00E5C"/>
    <w:rsid w:val="5ED35331"/>
    <w:rsid w:val="5ED5413E"/>
    <w:rsid w:val="5EE37831"/>
    <w:rsid w:val="5EEB7859"/>
    <w:rsid w:val="5F0A3D5F"/>
    <w:rsid w:val="5F155949"/>
    <w:rsid w:val="5F213F68"/>
    <w:rsid w:val="5F2F6349"/>
    <w:rsid w:val="5F600D4E"/>
    <w:rsid w:val="5F8E3078"/>
    <w:rsid w:val="5F956DDF"/>
    <w:rsid w:val="5F991667"/>
    <w:rsid w:val="5FA416F1"/>
    <w:rsid w:val="5FD93954"/>
    <w:rsid w:val="5FDC55D3"/>
    <w:rsid w:val="5FF469EE"/>
    <w:rsid w:val="5FFB0094"/>
    <w:rsid w:val="60160416"/>
    <w:rsid w:val="60305CC7"/>
    <w:rsid w:val="604A1238"/>
    <w:rsid w:val="60691A69"/>
    <w:rsid w:val="607A0217"/>
    <w:rsid w:val="607A4613"/>
    <w:rsid w:val="60A62DBA"/>
    <w:rsid w:val="60C03CCF"/>
    <w:rsid w:val="60C767F0"/>
    <w:rsid w:val="60C80C67"/>
    <w:rsid w:val="60D42D03"/>
    <w:rsid w:val="60E62C9D"/>
    <w:rsid w:val="60E7307A"/>
    <w:rsid w:val="61087BC8"/>
    <w:rsid w:val="611B62E0"/>
    <w:rsid w:val="61384E28"/>
    <w:rsid w:val="615E501E"/>
    <w:rsid w:val="6180773A"/>
    <w:rsid w:val="61A06374"/>
    <w:rsid w:val="62045801"/>
    <w:rsid w:val="620D0B43"/>
    <w:rsid w:val="622470A5"/>
    <w:rsid w:val="62247F4C"/>
    <w:rsid w:val="62263653"/>
    <w:rsid w:val="622D2FAA"/>
    <w:rsid w:val="62377615"/>
    <w:rsid w:val="625D25EA"/>
    <w:rsid w:val="62857C4E"/>
    <w:rsid w:val="6286607D"/>
    <w:rsid w:val="62A62781"/>
    <w:rsid w:val="62E05FC6"/>
    <w:rsid w:val="62FD3864"/>
    <w:rsid w:val="62FE2016"/>
    <w:rsid w:val="63464F7D"/>
    <w:rsid w:val="634B0772"/>
    <w:rsid w:val="635E3783"/>
    <w:rsid w:val="636E7A2E"/>
    <w:rsid w:val="637815DC"/>
    <w:rsid w:val="63815A2A"/>
    <w:rsid w:val="63BF7E8E"/>
    <w:rsid w:val="63C01CBD"/>
    <w:rsid w:val="63C427FD"/>
    <w:rsid w:val="63DC7CA9"/>
    <w:rsid w:val="63EB5883"/>
    <w:rsid w:val="63FC4F9D"/>
    <w:rsid w:val="642F1409"/>
    <w:rsid w:val="643F3D04"/>
    <w:rsid w:val="644204E6"/>
    <w:rsid w:val="64635DFB"/>
    <w:rsid w:val="64683A23"/>
    <w:rsid w:val="6474406D"/>
    <w:rsid w:val="64942E6C"/>
    <w:rsid w:val="64963088"/>
    <w:rsid w:val="64A86C2E"/>
    <w:rsid w:val="64AF3910"/>
    <w:rsid w:val="64B8587C"/>
    <w:rsid w:val="64BC2C9E"/>
    <w:rsid w:val="64C31BA2"/>
    <w:rsid w:val="64C626B7"/>
    <w:rsid w:val="65183AA3"/>
    <w:rsid w:val="65352374"/>
    <w:rsid w:val="65592B81"/>
    <w:rsid w:val="65683151"/>
    <w:rsid w:val="658066C4"/>
    <w:rsid w:val="65912A7B"/>
    <w:rsid w:val="65A06DD6"/>
    <w:rsid w:val="65C900C9"/>
    <w:rsid w:val="65D2326E"/>
    <w:rsid w:val="660428AE"/>
    <w:rsid w:val="660D1E09"/>
    <w:rsid w:val="660E4242"/>
    <w:rsid w:val="662519F4"/>
    <w:rsid w:val="66354951"/>
    <w:rsid w:val="666A2C09"/>
    <w:rsid w:val="6679092A"/>
    <w:rsid w:val="669315AD"/>
    <w:rsid w:val="669F035C"/>
    <w:rsid w:val="66A84CFD"/>
    <w:rsid w:val="66BA2385"/>
    <w:rsid w:val="66CB4DC3"/>
    <w:rsid w:val="66DB09CF"/>
    <w:rsid w:val="66E96680"/>
    <w:rsid w:val="67137066"/>
    <w:rsid w:val="67237A0F"/>
    <w:rsid w:val="6732233F"/>
    <w:rsid w:val="673267CD"/>
    <w:rsid w:val="67487CFE"/>
    <w:rsid w:val="67695728"/>
    <w:rsid w:val="677038E2"/>
    <w:rsid w:val="677777A9"/>
    <w:rsid w:val="67A672BA"/>
    <w:rsid w:val="67A82EE9"/>
    <w:rsid w:val="67B43783"/>
    <w:rsid w:val="67B92A72"/>
    <w:rsid w:val="67D019D1"/>
    <w:rsid w:val="67D547C2"/>
    <w:rsid w:val="67D64A49"/>
    <w:rsid w:val="67E23D3D"/>
    <w:rsid w:val="67FA0E09"/>
    <w:rsid w:val="68075EA1"/>
    <w:rsid w:val="681E2A90"/>
    <w:rsid w:val="68233F9E"/>
    <w:rsid w:val="68277A88"/>
    <w:rsid w:val="68340B83"/>
    <w:rsid w:val="68446023"/>
    <w:rsid w:val="686831F8"/>
    <w:rsid w:val="689340A3"/>
    <w:rsid w:val="68A12E72"/>
    <w:rsid w:val="68DC73EC"/>
    <w:rsid w:val="68EE4073"/>
    <w:rsid w:val="68EF720B"/>
    <w:rsid w:val="69054B5C"/>
    <w:rsid w:val="69293200"/>
    <w:rsid w:val="694347AF"/>
    <w:rsid w:val="694F06EB"/>
    <w:rsid w:val="6963607F"/>
    <w:rsid w:val="696403F8"/>
    <w:rsid w:val="69766916"/>
    <w:rsid w:val="698D63CB"/>
    <w:rsid w:val="698F77F4"/>
    <w:rsid w:val="69947674"/>
    <w:rsid w:val="699D2360"/>
    <w:rsid w:val="69B23B9D"/>
    <w:rsid w:val="69C02956"/>
    <w:rsid w:val="69D05E80"/>
    <w:rsid w:val="69E82867"/>
    <w:rsid w:val="69FC2745"/>
    <w:rsid w:val="6A086F70"/>
    <w:rsid w:val="6A137819"/>
    <w:rsid w:val="6A3A44B6"/>
    <w:rsid w:val="6A47547F"/>
    <w:rsid w:val="6A532224"/>
    <w:rsid w:val="6A540655"/>
    <w:rsid w:val="6A5B510D"/>
    <w:rsid w:val="6A677DA2"/>
    <w:rsid w:val="6A6E1D7C"/>
    <w:rsid w:val="6A763BAE"/>
    <w:rsid w:val="6A80552A"/>
    <w:rsid w:val="6AA159CB"/>
    <w:rsid w:val="6AA26939"/>
    <w:rsid w:val="6AC34955"/>
    <w:rsid w:val="6ACB1DCC"/>
    <w:rsid w:val="6AD50437"/>
    <w:rsid w:val="6AE4041A"/>
    <w:rsid w:val="6AEE57CB"/>
    <w:rsid w:val="6B092F5A"/>
    <w:rsid w:val="6B106EAD"/>
    <w:rsid w:val="6B3030A0"/>
    <w:rsid w:val="6B417EB3"/>
    <w:rsid w:val="6B6F630E"/>
    <w:rsid w:val="6B707214"/>
    <w:rsid w:val="6B923E7E"/>
    <w:rsid w:val="6B9C69D2"/>
    <w:rsid w:val="6BA57391"/>
    <w:rsid w:val="6BB104FC"/>
    <w:rsid w:val="6BBB0AAB"/>
    <w:rsid w:val="6BC75657"/>
    <w:rsid w:val="6BD126F0"/>
    <w:rsid w:val="6BE1773A"/>
    <w:rsid w:val="6BE35659"/>
    <w:rsid w:val="6C2B66F7"/>
    <w:rsid w:val="6C56491E"/>
    <w:rsid w:val="6C5B64F3"/>
    <w:rsid w:val="6C99501C"/>
    <w:rsid w:val="6CAC2B5E"/>
    <w:rsid w:val="6CB001A9"/>
    <w:rsid w:val="6CB84F3A"/>
    <w:rsid w:val="6CD429A0"/>
    <w:rsid w:val="6D0540F4"/>
    <w:rsid w:val="6D05726A"/>
    <w:rsid w:val="6D286848"/>
    <w:rsid w:val="6D4D4308"/>
    <w:rsid w:val="6D673555"/>
    <w:rsid w:val="6D717C1E"/>
    <w:rsid w:val="6D9241D9"/>
    <w:rsid w:val="6D92611A"/>
    <w:rsid w:val="6D981B81"/>
    <w:rsid w:val="6D994274"/>
    <w:rsid w:val="6DB90857"/>
    <w:rsid w:val="6DC267F1"/>
    <w:rsid w:val="6E032FC6"/>
    <w:rsid w:val="6E083615"/>
    <w:rsid w:val="6E0D26B4"/>
    <w:rsid w:val="6E360FB8"/>
    <w:rsid w:val="6E44084F"/>
    <w:rsid w:val="6E464A29"/>
    <w:rsid w:val="6E4F3DA5"/>
    <w:rsid w:val="6E6F0BB4"/>
    <w:rsid w:val="6E6F1D57"/>
    <w:rsid w:val="6E7A62E4"/>
    <w:rsid w:val="6E9D2927"/>
    <w:rsid w:val="6EB25B0B"/>
    <w:rsid w:val="6EB80BA0"/>
    <w:rsid w:val="6ED37D90"/>
    <w:rsid w:val="6EDF02CD"/>
    <w:rsid w:val="6F00046B"/>
    <w:rsid w:val="6F065AB6"/>
    <w:rsid w:val="6F3364F9"/>
    <w:rsid w:val="6F441647"/>
    <w:rsid w:val="6F4D0F66"/>
    <w:rsid w:val="6F505503"/>
    <w:rsid w:val="6F556422"/>
    <w:rsid w:val="6F57424B"/>
    <w:rsid w:val="6F612830"/>
    <w:rsid w:val="6F7E6BF3"/>
    <w:rsid w:val="6F9E5543"/>
    <w:rsid w:val="6FC27DA8"/>
    <w:rsid w:val="6FCC5BE7"/>
    <w:rsid w:val="6FD10B10"/>
    <w:rsid w:val="6FE54B28"/>
    <w:rsid w:val="6FE61F22"/>
    <w:rsid w:val="6FFD00DA"/>
    <w:rsid w:val="6FFF03F0"/>
    <w:rsid w:val="701F34FD"/>
    <w:rsid w:val="70352925"/>
    <w:rsid w:val="70505871"/>
    <w:rsid w:val="7059136B"/>
    <w:rsid w:val="706B4405"/>
    <w:rsid w:val="70732893"/>
    <w:rsid w:val="70801B07"/>
    <w:rsid w:val="7080699B"/>
    <w:rsid w:val="709A7A5C"/>
    <w:rsid w:val="70A1406F"/>
    <w:rsid w:val="70B0465E"/>
    <w:rsid w:val="70EE7DA8"/>
    <w:rsid w:val="70FE623D"/>
    <w:rsid w:val="71162540"/>
    <w:rsid w:val="714C3BDE"/>
    <w:rsid w:val="715B3C2A"/>
    <w:rsid w:val="717A163C"/>
    <w:rsid w:val="71803C89"/>
    <w:rsid w:val="71994E64"/>
    <w:rsid w:val="719972E4"/>
    <w:rsid w:val="71CA7676"/>
    <w:rsid w:val="71DE606F"/>
    <w:rsid w:val="71E117BB"/>
    <w:rsid w:val="71E22C51"/>
    <w:rsid w:val="71EA7695"/>
    <w:rsid w:val="71EE7FB9"/>
    <w:rsid w:val="72155E50"/>
    <w:rsid w:val="721D341E"/>
    <w:rsid w:val="72536FDC"/>
    <w:rsid w:val="727D75DF"/>
    <w:rsid w:val="72AE10AA"/>
    <w:rsid w:val="72BB74DD"/>
    <w:rsid w:val="72D36E77"/>
    <w:rsid w:val="72DD2BAD"/>
    <w:rsid w:val="72FB66FD"/>
    <w:rsid w:val="732872C5"/>
    <w:rsid w:val="733235D8"/>
    <w:rsid w:val="73495606"/>
    <w:rsid w:val="734B6169"/>
    <w:rsid w:val="7360086A"/>
    <w:rsid w:val="739A0DC0"/>
    <w:rsid w:val="73B920B2"/>
    <w:rsid w:val="73E66414"/>
    <w:rsid w:val="74085669"/>
    <w:rsid w:val="740A0363"/>
    <w:rsid w:val="740C33C7"/>
    <w:rsid w:val="74275169"/>
    <w:rsid w:val="74412921"/>
    <w:rsid w:val="744F54D9"/>
    <w:rsid w:val="744F77D8"/>
    <w:rsid w:val="7475710D"/>
    <w:rsid w:val="747621BD"/>
    <w:rsid w:val="747C3CCA"/>
    <w:rsid w:val="7499222A"/>
    <w:rsid w:val="74A7099F"/>
    <w:rsid w:val="74F3598D"/>
    <w:rsid w:val="750441BE"/>
    <w:rsid w:val="75086A21"/>
    <w:rsid w:val="750B356A"/>
    <w:rsid w:val="750C4DDC"/>
    <w:rsid w:val="7510569F"/>
    <w:rsid w:val="75502DDF"/>
    <w:rsid w:val="7551491B"/>
    <w:rsid w:val="7560036C"/>
    <w:rsid w:val="75630D65"/>
    <w:rsid w:val="756950CA"/>
    <w:rsid w:val="75922EAF"/>
    <w:rsid w:val="759A22AD"/>
    <w:rsid w:val="75AD28A1"/>
    <w:rsid w:val="75C224B9"/>
    <w:rsid w:val="75E07987"/>
    <w:rsid w:val="75F10BC2"/>
    <w:rsid w:val="76013E56"/>
    <w:rsid w:val="760A7D9D"/>
    <w:rsid w:val="76335855"/>
    <w:rsid w:val="763E51CC"/>
    <w:rsid w:val="76465F91"/>
    <w:rsid w:val="764C7D34"/>
    <w:rsid w:val="766026E6"/>
    <w:rsid w:val="76746CF2"/>
    <w:rsid w:val="76B770A6"/>
    <w:rsid w:val="76BB3818"/>
    <w:rsid w:val="76CE7275"/>
    <w:rsid w:val="76D4637C"/>
    <w:rsid w:val="76DD60BF"/>
    <w:rsid w:val="76E4362B"/>
    <w:rsid w:val="770A1659"/>
    <w:rsid w:val="7712242B"/>
    <w:rsid w:val="771F60E4"/>
    <w:rsid w:val="77231D40"/>
    <w:rsid w:val="773A7A8E"/>
    <w:rsid w:val="77545067"/>
    <w:rsid w:val="77592400"/>
    <w:rsid w:val="775D55B6"/>
    <w:rsid w:val="77703F76"/>
    <w:rsid w:val="777D1E86"/>
    <w:rsid w:val="77825F67"/>
    <w:rsid w:val="77906613"/>
    <w:rsid w:val="77B91A42"/>
    <w:rsid w:val="77C22AA7"/>
    <w:rsid w:val="77C5780E"/>
    <w:rsid w:val="77C87F9B"/>
    <w:rsid w:val="77F35CA4"/>
    <w:rsid w:val="781A76D5"/>
    <w:rsid w:val="782F327E"/>
    <w:rsid w:val="78397A32"/>
    <w:rsid w:val="78A06277"/>
    <w:rsid w:val="78C64F8E"/>
    <w:rsid w:val="791A1EB8"/>
    <w:rsid w:val="791E4FA3"/>
    <w:rsid w:val="79402950"/>
    <w:rsid w:val="797161CD"/>
    <w:rsid w:val="797167CA"/>
    <w:rsid w:val="798E4E1E"/>
    <w:rsid w:val="799E2AB3"/>
    <w:rsid w:val="79A37A59"/>
    <w:rsid w:val="79C61A14"/>
    <w:rsid w:val="79C85435"/>
    <w:rsid w:val="79EE5B89"/>
    <w:rsid w:val="79F05A1B"/>
    <w:rsid w:val="79F05C22"/>
    <w:rsid w:val="7A020CA3"/>
    <w:rsid w:val="7A067805"/>
    <w:rsid w:val="7A5E5838"/>
    <w:rsid w:val="7A7620C4"/>
    <w:rsid w:val="7AA408FA"/>
    <w:rsid w:val="7AD65B35"/>
    <w:rsid w:val="7B123707"/>
    <w:rsid w:val="7B236D19"/>
    <w:rsid w:val="7B307625"/>
    <w:rsid w:val="7B347CEC"/>
    <w:rsid w:val="7B576B4E"/>
    <w:rsid w:val="7B761608"/>
    <w:rsid w:val="7B761892"/>
    <w:rsid w:val="7B87133C"/>
    <w:rsid w:val="7BC10593"/>
    <w:rsid w:val="7BF4357B"/>
    <w:rsid w:val="7C105077"/>
    <w:rsid w:val="7C416F95"/>
    <w:rsid w:val="7C4E5B9F"/>
    <w:rsid w:val="7C580760"/>
    <w:rsid w:val="7C824B4A"/>
    <w:rsid w:val="7C8B3404"/>
    <w:rsid w:val="7C9868DA"/>
    <w:rsid w:val="7C9C47E0"/>
    <w:rsid w:val="7C9E070C"/>
    <w:rsid w:val="7CBB152F"/>
    <w:rsid w:val="7D193EA6"/>
    <w:rsid w:val="7D1C38BC"/>
    <w:rsid w:val="7D2C343C"/>
    <w:rsid w:val="7D3603BB"/>
    <w:rsid w:val="7D4C3183"/>
    <w:rsid w:val="7D513B66"/>
    <w:rsid w:val="7D7609A4"/>
    <w:rsid w:val="7D9314F6"/>
    <w:rsid w:val="7D9C06C0"/>
    <w:rsid w:val="7DA47321"/>
    <w:rsid w:val="7DBE5AB2"/>
    <w:rsid w:val="7DCA7144"/>
    <w:rsid w:val="7DD87FEF"/>
    <w:rsid w:val="7DDB441F"/>
    <w:rsid w:val="7E1161F8"/>
    <w:rsid w:val="7E4B1AB3"/>
    <w:rsid w:val="7E58216F"/>
    <w:rsid w:val="7E58478A"/>
    <w:rsid w:val="7E70415D"/>
    <w:rsid w:val="7E74313A"/>
    <w:rsid w:val="7E7F1745"/>
    <w:rsid w:val="7E886BD8"/>
    <w:rsid w:val="7E922F1E"/>
    <w:rsid w:val="7E9C1A45"/>
    <w:rsid w:val="7EA847B5"/>
    <w:rsid w:val="7EC77AD5"/>
    <w:rsid w:val="7EEF7176"/>
    <w:rsid w:val="7F08427C"/>
    <w:rsid w:val="7F271055"/>
    <w:rsid w:val="7F547198"/>
    <w:rsid w:val="7F5D7752"/>
    <w:rsid w:val="7F7A668F"/>
    <w:rsid w:val="7F7C1BAA"/>
    <w:rsid w:val="7F91228D"/>
    <w:rsid w:val="7F980D98"/>
    <w:rsid w:val="7FBA4CF9"/>
    <w:rsid w:val="7FDB65A4"/>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29"/>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7">
    <w:name w:val="caption"/>
    <w:basedOn w:val="1"/>
    <w:next w:val="1"/>
    <w:autoRedefine/>
    <w:unhideWhenUsed/>
    <w:qFormat/>
    <w:uiPriority w:val="35"/>
    <w:rPr>
      <w:b/>
      <w:bCs/>
    </w:rPr>
  </w:style>
  <w:style w:type="paragraph" w:styleId="8">
    <w:name w:val="annotation text"/>
    <w:basedOn w:val="1"/>
    <w:link w:val="27"/>
    <w:autoRedefine/>
    <w:qFormat/>
    <w:uiPriority w:val="99"/>
    <w:pPr>
      <w:jc w:val="left"/>
    </w:pPr>
  </w:style>
  <w:style w:type="paragraph" w:styleId="9">
    <w:name w:val="Body Text"/>
    <w:basedOn w:val="1"/>
    <w:autoRedefine/>
    <w:qFormat/>
    <w:uiPriority w:val="0"/>
    <w:pPr>
      <w:spacing w:after="120"/>
    </w:p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autoRedefine/>
    <w:qFormat/>
    <w:uiPriority w:val="0"/>
    <w:pPr>
      <w:ind w:left="568" w:hanging="284"/>
    </w:pPr>
  </w:style>
  <w:style w:type="paragraph" w:styleId="13">
    <w:name w:val="annotation subject"/>
    <w:basedOn w:val="8"/>
    <w:next w:val="8"/>
    <w:link w:val="28"/>
    <w:autoRedefine/>
    <w:semiHidden/>
    <w:unhideWhenUsed/>
    <w:qFormat/>
    <w:uiPriority w:val="99"/>
    <w:rPr>
      <w:b/>
      <w:bCs/>
    </w:rPr>
  </w:style>
  <w:style w:type="table" w:styleId="15">
    <w:name w:val="Table Grid"/>
    <w:basedOn w:val="14"/>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autoRedefine/>
    <w:qFormat/>
    <w:uiPriority w:val="99"/>
    <w:rPr>
      <w:color w:val="0000FF"/>
      <w:u w:val="single"/>
    </w:rPr>
  </w:style>
  <w:style w:type="character" w:styleId="18">
    <w:name w:val="annotation reference"/>
    <w:basedOn w:val="16"/>
    <w:autoRedefine/>
    <w:qFormat/>
    <w:uiPriority w:val="0"/>
    <w:rPr>
      <w:sz w:val="21"/>
      <w:szCs w:val="21"/>
    </w:rPr>
  </w:style>
  <w:style w:type="character" w:customStyle="1" w:styleId="19">
    <w:name w:val="页眉 字符"/>
    <w:basedOn w:val="16"/>
    <w:link w:val="11"/>
    <w:autoRedefine/>
    <w:qFormat/>
    <w:uiPriority w:val="99"/>
    <w:rPr>
      <w:sz w:val="18"/>
      <w:szCs w:val="18"/>
    </w:rPr>
  </w:style>
  <w:style w:type="character" w:customStyle="1" w:styleId="20">
    <w:name w:val="页脚 字符"/>
    <w:basedOn w:val="16"/>
    <w:link w:val="10"/>
    <w:autoRedefine/>
    <w:qFormat/>
    <w:uiPriority w:val="99"/>
    <w:rPr>
      <w:sz w:val="18"/>
      <w:szCs w:val="18"/>
    </w:rPr>
  </w:style>
  <w:style w:type="paragraph" w:customStyle="1" w:styleId="21">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2">
    <w:name w:val="TF"/>
    <w:basedOn w:val="21"/>
    <w:autoRedefine/>
    <w:qFormat/>
    <w:uiPriority w:val="0"/>
    <w:pPr>
      <w:keepNext w:val="0"/>
      <w:spacing w:before="0" w:after="240"/>
    </w:pPr>
  </w:style>
  <w:style w:type="paragraph" w:styleId="23">
    <w:name w:val="List Paragraph"/>
    <w:basedOn w:val="1"/>
    <w:autoRedefine/>
    <w:qFormat/>
    <w:uiPriority w:val="34"/>
    <w:pPr>
      <w:ind w:firstLine="420" w:firstLineChars="200"/>
    </w:pPr>
  </w:style>
  <w:style w:type="paragraph" w:customStyle="1" w:styleId="24">
    <w:name w:val="B1"/>
    <w:basedOn w:val="12"/>
    <w:autoRedefine/>
    <w:qFormat/>
    <w:uiPriority w:val="0"/>
  </w:style>
  <w:style w:type="paragraph" w:customStyle="1" w:styleId="25">
    <w:name w:val="Doc-text2"/>
    <w:basedOn w:val="1"/>
    <w:autoRedefine/>
    <w:qFormat/>
    <w:uiPriority w:val="0"/>
    <w:pPr>
      <w:tabs>
        <w:tab w:val="left" w:pos="1622"/>
      </w:tabs>
      <w:ind w:left="1622" w:hanging="363"/>
      <w:jc w:val="left"/>
    </w:pPr>
    <w:rPr>
      <w:rFonts w:eastAsia="MS Mincho"/>
      <w:szCs w:val="24"/>
    </w:rPr>
  </w:style>
  <w:style w:type="paragraph" w:customStyle="1" w:styleId="2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7">
    <w:name w:val="批注文字 字符"/>
    <w:basedOn w:val="16"/>
    <w:link w:val="8"/>
    <w:autoRedefine/>
    <w:qFormat/>
    <w:uiPriority w:val="99"/>
    <w:rPr>
      <w:kern w:val="2"/>
      <w:sz w:val="21"/>
      <w:szCs w:val="22"/>
    </w:rPr>
  </w:style>
  <w:style w:type="character" w:customStyle="1" w:styleId="28">
    <w:name w:val="批注主题 字符"/>
    <w:basedOn w:val="27"/>
    <w:link w:val="13"/>
    <w:autoRedefine/>
    <w:semiHidden/>
    <w:qFormat/>
    <w:uiPriority w:val="99"/>
    <w:rPr>
      <w:b/>
      <w:bCs/>
      <w:kern w:val="2"/>
      <w:sz w:val="21"/>
      <w:szCs w:val="22"/>
    </w:rPr>
  </w:style>
  <w:style w:type="character" w:customStyle="1" w:styleId="29">
    <w:name w:val="标题 4 字符"/>
    <w:link w:val="5"/>
    <w:autoRedefine/>
    <w:qFormat/>
    <w:uiPriority w:val="9"/>
    <w:rPr>
      <w:i/>
    </w:rPr>
  </w:style>
  <w:style w:type="paragraph" w:customStyle="1" w:styleId="30">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1">
    <w:name w:val="Comments"/>
    <w:basedOn w:val="1"/>
    <w:autoRedefine/>
    <w:qFormat/>
    <w:uiPriority w:val="0"/>
    <w:rPr>
      <w:i/>
      <w:sz w:val="18"/>
    </w:rPr>
  </w:style>
  <w:style w:type="paragraph" w:customStyle="1" w:styleId="32">
    <w:name w:val="Agreement"/>
    <w:basedOn w:val="1"/>
    <w:next w:val="25"/>
    <w:autoRedefine/>
    <w:qFormat/>
    <w:uiPriority w:val="0"/>
    <w:pPr>
      <w:numPr>
        <w:ilvl w:val="0"/>
        <w:numId w:val="4"/>
      </w:numPr>
      <w:tabs>
        <w:tab w:val="left" w:pos="1619"/>
        <w:tab w:val="clear" w:pos="1352"/>
      </w:tabs>
      <w:spacing w:before="60"/>
      <w:ind w:left="1619"/>
    </w:pPr>
    <w:rPr>
      <w:b/>
    </w:rPr>
  </w:style>
  <w:style w:type="character" w:customStyle="1" w:styleId="33">
    <w:name w:val="ui-provider"/>
    <w:basedOn w:val="16"/>
    <w:autoRedefine/>
    <w:qFormat/>
    <w:uiPriority w:val="0"/>
  </w:style>
  <w:style w:type="paragraph" w:customStyle="1" w:styleId="34">
    <w:name w:val="pf0"/>
    <w:basedOn w:val="1"/>
    <w:autoRedefine/>
    <w:qFormat/>
    <w:uiPriority w:val="0"/>
    <w:pPr>
      <w:spacing w:before="100" w:beforeAutospacing="1" w:after="100" w:afterAutospacing="1"/>
    </w:pPr>
    <w:rPr>
      <w:sz w:val="24"/>
      <w:szCs w:val="24"/>
      <w:lang w:eastAsia="ko-KR"/>
    </w:rPr>
  </w:style>
  <w:style w:type="paragraph" w:customStyle="1" w:styleId="35">
    <w:name w:val="B2"/>
    <w:basedOn w:val="1"/>
    <w:autoRedefine/>
    <w:qFormat/>
    <w:uiPriority w:val="0"/>
    <w:pPr>
      <w:ind w:left="851" w:hanging="284"/>
    </w:pPr>
  </w:style>
  <w:style w:type="paragraph" w:customStyle="1" w:styleId="36">
    <w:name w:val="Revision"/>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37">
    <w:name w:val="TAH"/>
    <w:basedOn w:val="38"/>
    <w:qFormat/>
    <w:uiPriority w:val="0"/>
    <w:rPr>
      <w:b/>
    </w:rPr>
  </w:style>
  <w:style w:type="paragraph" w:customStyle="1" w:styleId="38">
    <w:name w:val="TAC"/>
    <w:basedOn w:val="39"/>
    <w:qFormat/>
    <w:uiPriority w:val="0"/>
    <w:pPr>
      <w:jc w:val="center"/>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B3"/>
    <w:basedOn w:val="1"/>
    <w:autoRedefine/>
    <w:qFormat/>
    <w:uiPriority w:val="0"/>
    <w:pPr>
      <w:ind w:left="1135" w:hanging="284"/>
    </w:pPr>
  </w:style>
  <w:style w:type="paragraph" w:customStyle="1" w:styleId="41">
    <w:name w:val="Doc-comment"/>
    <w:basedOn w:val="1"/>
    <w:next w:val="25"/>
    <w:qFormat/>
    <w:uiPriority w:val="0"/>
    <w:pPr>
      <w:tabs>
        <w:tab w:val="left" w:pos="1622"/>
      </w:tabs>
      <w:spacing w:after="0"/>
      <w:ind w:left="1622" w:hanging="363"/>
    </w:pPr>
    <w:rPr>
      <w:rFonts w:ascii="Calibri" w:hAnsi="Calibri" w:cs="Calibri" w:eastAsiaTheme="minorHAnsi"/>
      <w:i/>
      <w:sz w:val="22"/>
      <w:szCs w:val="22"/>
      <w:lang w:val="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2994</Words>
  <Characters>16736</Characters>
  <Lines>49</Lines>
  <Paragraphs>13</Paragraphs>
  <TotalTime>0</TotalTime>
  <ScaleCrop>false</ScaleCrop>
  <LinksUpToDate>false</LinksUpToDate>
  <CharactersWithSpaces>19564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2025-08-15T03:10:58Z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7651CA7F69DB4826BD9B0994D7DF2913_13</vt:lpwstr>
  </property>
  <property fmtid="{D5CDD505-2E9C-101B-9397-08002B2CF9AE}" pid="4" name="KSOTemplateDocerSaveRecord">
    <vt:lpwstr>eyJoZGlkIjoiMzEwNTM5NzYwMDRjMzkwZTVkZjY2ODkwMGIxNGU0OTUiLCJ1c2VySWQiOiI1MDQ0ODU3MTMifQ==</vt:lpwstr>
  </property>
</Properties>
</file>